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27" w:rsidRDefault="00AB6227" w:rsidP="00AB6227">
      <w:pPr>
        <w:pStyle w:val="Standard"/>
        <w:spacing w:line="600" w:lineRule="exact"/>
        <w:jc w:val="center"/>
        <w:rPr>
          <w:rFonts w:ascii="標楷體" w:eastAsia="標楷體" w:hAnsi="標楷體" w:cs="標楷體"/>
          <w:b/>
          <w:bCs/>
          <w:sz w:val="40"/>
          <w:szCs w:val="40"/>
        </w:rPr>
      </w:pPr>
      <w:bookmarkStart w:id="0" w:name="_GoBack"/>
      <w:r>
        <w:rPr>
          <w:rFonts w:ascii="標楷體" w:eastAsia="標楷體" w:hAnsi="標楷體" w:cs="標楷體"/>
          <w:b/>
          <w:bCs/>
          <w:sz w:val="40"/>
          <w:szCs w:val="40"/>
        </w:rPr>
        <w:t>教育部運動發展基金補助運動科學支援競技運動作業要點</w:t>
      </w:r>
    </w:p>
    <w:bookmarkEnd w:id="0"/>
    <w:p w:rsidR="00AB6227" w:rsidRDefault="00AB6227" w:rsidP="00AB6227">
      <w:pPr>
        <w:pStyle w:val="Standard"/>
        <w:snapToGrid w:val="0"/>
        <w:spacing w:line="460" w:lineRule="exact"/>
        <w:ind w:left="566" w:hanging="566"/>
        <w:jc w:val="both"/>
      </w:pPr>
      <w:r>
        <w:rPr>
          <w:rFonts w:ascii="標楷體" w:eastAsia="標楷體" w:hAnsi="標楷體" w:cs="標楷體"/>
          <w:color w:val="000000"/>
          <w:sz w:val="28"/>
          <w:szCs w:val="28"/>
        </w:rPr>
        <w:t>一、教育部（以下簡稱本部）為鼓勵應用運動科學支援競技運動訓練，培育競技運動人才，特訂定本要點。</w:t>
      </w:r>
    </w:p>
    <w:p w:rsidR="00AB6227" w:rsidRDefault="00AB6227" w:rsidP="00AB6227">
      <w:pPr>
        <w:pStyle w:val="Standard"/>
        <w:snapToGrid w:val="0"/>
        <w:spacing w:line="460" w:lineRule="exact"/>
        <w:ind w:left="566" w:hanging="566"/>
        <w:jc w:val="both"/>
      </w:pPr>
      <w:r>
        <w:rPr>
          <w:rFonts w:ascii="標楷體" w:eastAsia="標楷體" w:hAnsi="標楷體" w:cs="標楷體"/>
          <w:color w:val="000000"/>
          <w:sz w:val="28"/>
          <w:szCs w:val="28"/>
        </w:rPr>
        <w:t>二、本要點所稱運動科學，指運動生理學、運動心理學、運動生物力學、運動營養學、運動醫學及體能訓練方法學中，具有應用性及實務性並提升競技運動成績之科學。</w:t>
      </w:r>
    </w:p>
    <w:p w:rsidR="00AB6227" w:rsidRDefault="00AB6227" w:rsidP="00AB6227">
      <w:pPr>
        <w:pStyle w:val="Standard"/>
        <w:snapToGrid w:val="0"/>
        <w:spacing w:line="460" w:lineRule="exact"/>
        <w:ind w:left="566" w:hanging="566"/>
        <w:jc w:val="both"/>
      </w:pPr>
      <w:r>
        <w:rPr>
          <w:rFonts w:ascii="標楷體" w:eastAsia="標楷體" w:hAnsi="標楷體" w:cs="標楷體"/>
          <w:color w:val="000000"/>
          <w:sz w:val="28"/>
          <w:szCs w:val="28"/>
        </w:rPr>
        <w:t>三、專科以上學校及依法立案或登記之公私立機構、體育運動學術團體及法人（以下簡稱申請單位），得依本要點規定申請補助。</w:t>
      </w:r>
    </w:p>
    <w:p w:rsidR="00AB6227" w:rsidRDefault="00AB6227" w:rsidP="00AB6227">
      <w:pPr>
        <w:pStyle w:val="Standard"/>
        <w:snapToGrid w:val="0"/>
        <w:spacing w:line="460" w:lineRule="exact"/>
        <w:ind w:left="564"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前項體育運動學術團體，指依人民團體法於內政部立案，且以研究體育運動之學理及技術等相關學術為宗旨之團體。</w:t>
      </w:r>
    </w:p>
    <w:p w:rsidR="00AB6227" w:rsidRDefault="00AB6227" w:rsidP="00AB6227">
      <w:pPr>
        <w:pStyle w:val="Standard"/>
        <w:snapToGrid w:val="0"/>
        <w:spacing w:line="460" w:lineRule="exact"/>
        <w:ind w:left="566" w:hanging="566"/>
        <w:jc w:val="both"/>
      </w:pPr>
      <w:r>
        <w:rPr>
          <w:rFonts w:ascii="標楷體" w:eastAsia="標楷體" w:hAnsi="標楷體" w:cs="標楷體"/>
          <w:color w:val="000000"/>
          <w:sz w:val="28"/>
          <w:szCs w:val="28"/>
        </w:rPr>
        <w:t>四、申請單位得於本部公告受理之日起二個月內，</w:t>
      </w:r>
      <w:proofErr w:type="gramStart"/>
      <w:r>
        <w:rPr>
          <w:rFonts w:ascii="標楷體" w:eastAsia="標楷體" w:hAnsi="標楷體" w:cs="標楷體"/>
          <w:color w:val="000000"/>
          <w:sz w:val="28"/>
          <w:szCs w:val="28"/>
        </w:rPr>
        <w:t>擬具次年度</w:t>
      </w:r>
      <w:proofErr w:type="gramEnd"/>
      <w:r>
        <w:rPr>
          <w:rFonts w:ascii="標楷體" w:eastAsia="標楷體" w:hAnsi="標楷體" w:cs="標楷體"/>
          <w:color w:val="000000"/>
          <w:sz w:val="28"/>
          <w:szCs w:val="28"/>
        </w:rPr>
        <w:t>執行計畫，並檢附相關文件、資料，向本部體育署（以下簡稱體育署）提出申請。</w:t>
      </w:r>
    </w:p>
    <w:p w:rsidR="00AB6227" w:rsidRDefault="00AB6227" w:rsidP="00AB6227">
      <w:pPr>
        <w:pStyle w:val="Standard"/>
        <w:snapToGrid w:val="0"/>
        <w:spacing w:line="460" w:lineRule="exact"/>
        <w:ind w:firstLine="1134"/>
        <w:jc w:val="both"/>
      </w:pPr>
      <w:r>
        <w:rPr>
          <w:rFonts w:ascii="標楷體" w:eastAsia="標楷體" w:hAnsi="標楷體" w:cs="標楷體"/>
          <w:color w:val="000000"/>
          <w:sz w:val="28"/>
          <w:szCs w:val="28"/>
        </w:rPr>
        <w:t>前項計畫應包括下列事項：</w:t>
      </w:r>
    </w:p>
    <w:p w:rsidR="00AB6227" w:rsidRDefault="00AB6227" w:rsidP="00AB6227">
      <w:pPr>
        <w:pStyle w:val="Standard"/>
        <w:snapToGrid w:val="0"/>
        <w:spacing w:line="460" w:lineRule="exact"/>
        <w:ind w:left="1699"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ab/>
        <w:t>主題及運動科學運用目的範圍。</w:t>
      </w:r>
    </w:p>
    <w:p w:rsidR="00AB6227" w:rsidRDefault="00AB6227" w:rsidP="00AB6227">
      <w:pPr>
        <w:pStyle w:val="Standard"/>
        <w:snapToGrid w:val="0"/>
        <w:spacing w:line="460" w:lineRule="exact"/>
        <w:ind w:left="1699"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(二)</w:t>
      </w:r>
      <w:r>
        <w:rPr>
          <w:rFonts w:ascii="標楷體" w:eastAsia="標楷體" w:hAnsi="標楷體" w:cs="標楷體"/>
          <w:color w:val="000000"/>
          <w:sz w:val="28"/>
          <w:szCs w:val="28"/>
        </w:rPr>
        <w:tab/>
        <w:t>擬支援之競技運動項目及競技運動團隊與其人員（以下簡稱支援團隊）。</w:t>
      </w:r>
    </w:p>
    <w:p w:rsidR="00AB6227" w:rsidRDefault="00AB6227" w:rsidP="00AB6227">
      <w:pPr>
        <w:pStyle w:val="Standard"/>
        <w:snapToGrid w:val="0"/>
        <w:spacing w:line="460" w:lineRule="exact"/>
        <w:ind w:left="1699"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(三)</w:t>
      </w:r>
      <w:r>
        <w:rPr>
          <w:rFonts w:ascii="標楷體" w:eastAsia="標楷體" w:hAnsi="標楷體" w:cs="標楷體"/>
          <w:color w:val="000000"/>
          <w:sz w:val="28"/>
          <w:szCs w:val="28"/>
        </w:rPr>
        <w:tab/>
        <w:t>達成計畫目標之應用性與實務性策略、方法及預期效益。</w:t>
      </w:r>
    </w:p>
    <w:p w:rsidR="00AB6227" w:rsidRDefault="00AB6227" w:rsidP="00AB6227">
      <w:pPr>
        <w:pStyle w:val="Standard"/>
        <w:snapToGrid w:val="0"/>
        <w:spacing w:line="460" w:lineRule="exact"/>
        <w:ind w:left="1699"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(四)</w:t>
      </w:r>
      <w:r>
        <w:rPr>
          <w:rFonts w:ascii="標楷體" w:eastAsia="標楷體" w:hAnsi="標楷體" w:cs="標楷體"/>
          <w:color w:val="000000"/>
          <w:sz w:val="28"/>
          <w:szCs w:val="28"/>
        </w:rPr>
        <w:tab/>
        <w:t>工作內容及期程。</w:t>
      </w:r>
    </w:p>
    <w:p w:rsidR="00AB6227" w:rsidRDefault="00AB6227" w:rsidP="00AB6227">
      <w:pPr>
        <w:pStyle w:val="Standard"/>
        <w:snapToGrid w:val="0"/>
        <w:spacing w:line="460" w:lineRule="exact"/>
        <w:ind w:left="1699"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(五)</w:t>
      </w:r>
      <w:r>
        <w:rPr>
          <w:rFonts w:ascii="標楷體" w:eastAsia="標楷體" w:hAnsi="標楷體" w:cs="標楷體"/>
          <w:color w:val="000000"/>
          <w:sz w:val="28"/>
          <w:szCs w:val="28"/>
        </w:rPr>
        <w:tab/>
        <w:t>計畫主持人、協同主持人、研究團隊與支援團隊成員及相關工作人員之學、經歷及其研究成果之資料或證明文件。</w:t>
      </w:r>
    </w:p>
    <w:p w:rsidR="00AB6227" w:rsidRDefault="00AB6227" w:rsidP="00AB6227">
      <w:pPr>
        <w:pStyle w:val="Standard"/>
        <w:snapToGrid w:val="0"/>
        <w:spacing w:line="460" w:lineRule="exact"/>
        <w:ind w:left="1699"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(六)</w:t>
      </w:r>
      <w:r>
        <w:rPr>
          <w:rFonts w:ascii="標楷體" w:eastAsia="標楷體" w:hAnsi="標楷體" w:cs="標楷體"/>
          <w:color w:val="000000"/>
          <w:sz w:val="28"/>
          <w:szCs w:val="28"/>
        </w:rPr>
        <w:tab/>
        <w:t>預算需求項目及金額。</w:t>
      </w:r>
    </w:p>
    <w:p w:rsidR="00AB6227" w:rsidRDefault="00AB6227" w:rsidP="00AB6227">
      <w:pPr>
        <w:pStyle w:val="Standard"/>
        <w:snapToGrid w:val="0"/>
        <w:spacing w:line="460" w:lineRule="exact"/>
        <w:ind w:left="566" w:hanging="566"/>
        <w:jc w:val="both"/>
      </w:pPr>
      <w:r>
        <w:rPr>
          <w:rFonts w:ascii="標楷體" w:eastAsia="標楷體" w:hAnsi="標楷體" w:cs="標楷體"/>
          <w:color w:val="000000"/>
          <w:sz w:val="28"/>
          <w:szCs w:val="28"/>
        </w:rPr>
        <w:t>五、計畫主持人之資格如下：</w:t>
      </w:r>
    </w:p>
    <w:p w:rsidR="00AB6227" w:rsidRDefault="00AB6227" w:rsidP="00AB6227">
      <w:pPr>
        <w:pStyle w:val="Standard"/>
        <w:snapToGrid w:val="0"/>
        <w:spacing w:line="460" w:lineRule="exact"/>
        <w:ind w:left="1699"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ab/>
        <w:t>公私立大專院校：講師、助理研究員以上或相當資格之專任人員。</w:t>
      </w:r>
    </w:p>
    <w:p w:rsidR="00AB6227" w:rsidRDefault="00AB6227" w:rsidP="00AB6227">
      <w:pPr>
        <w:pStyle w:val="Standard"/>
        <w:snapToGrid w:val="0"/>
        <w:spacing w:line="460" w:lineRule="exact"/>
        <w:ind w:left="1699"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(二)</w:t>
      </w:r>
      <w:r>
        <w:rPr>
          <w:rFonts w:ascii="標楷體" w:eastAsia="標楷體" w:hAnsi="標楷體" w:cs="標楷體"/>
          <w:color w:val="000000"/>
          <w:sz w:val="28"/>
          <w:szCs w:val="28"/>
        </w:rPr>
        <w:tab/>
        <w:t>公私立研究機構：助理研究員以上或相當資格之專任人員。</w:t>
      </w:r>
    </w:p>
    <w:p w:rsidR="00AB6227" w:rsidRDefault="00AB6227" w:rsidP="00AB6227">
      <w:pPr>
        <w:pStyle w:val="Standard"/>
        <w:snapToGrid w:val="0"/>
        <w:spacing w:line="460" w:lineRule="exact"/>
        <w:ind w:left="1699"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(三)</w:t>
      </w:r>
      <w:r>
        <w:rPr>
          <w:rFonts w:ascii="標楷體" w:eastAsia="標楷體" w:hAnsi="標楷體" w:cs="標楷體"/>
          <w:color w:val="000000"/>
          <w:sz w:val="28"/>
          <w:szCs w:val="28"/>
        </w:rPr>
        <w:tab/>
        <w:t>體育運動學術團體及法人：具有專業知識及研究經驗與成</w:t>
      </w:r>
      <w:r>
        <w:rPr>
          <w:rFonts w:ascii="標楷體" w:eastAsia="標楷體" w:hAnsi="標楷體" w:cs="標楷體"/>
          <w:color w:val="000000"/>
          <w:sz w:val="28"/>
          <w:szCs w:val="28"/>
        </w:rPr>
        <w:lastRenderedPageBreak/>
        <w:t>果之專任人員。</w:t>
      </w:r>
    </w:p>
    <w:p w:rsidR="00AB6227" w:rsidRDefault="00AB6227" w:rsidP="00AB6227">
      <w:pPr>
        <w:pStyle w:val="Standard"/>
        <w:snapToGrid w:val="0"/>
        <w:spacing w:line="460" w:lineRule="exact"/>
        <w:ind w:left="566" w:hanging="566"/>
        <w:jc w:val="both"/>
      </w:pPr>
      <w:r>
        <w:rPr>
          <w:rFonts w:ascii="標楷體" w:eastAsia="標楷體" w:hAnsi="標楷體" w:cs="標楷體"/>
          <w:color w:val="000000"/>
          <w:sz w:val="28"/>
          <w:szCs w:val="28"/>
        </w:rPr>
        <w:t>六、</w:t>
      </w:r>
      <w:proofErr w:type="gramStart"/>
      <w:r>
        <w:rPr>
          <w:rFonts w:ascii="標楷體" w:eastAsia="標楷體" w:hAnsi="標楷體" w:cs="標楷體"/>
          <w:color w:val="000000"/>
          <w:sz w:val="28"/>
          <w:szCs w:val="28"/>
        </w:rPr>
        <w:t>體育署得邀集</w:t>
      </w:r>
      <w:proofErr w:type="gramEnd"/>
      <w:r>
        <w:rPr>
          <w:rFonts w:ascii="標楷體" w:eastAsia="標楷體" w:hAnsi="標楷體" w:cs="標楷體"/>
          <w:color w:val="000000"/>
          <w:sz w:val="28"/>
          <w:szCs w:val="28"/>
        </w:rPr>
        <w:t>相關運動科學領域之學者專家若干人，組成審查小組審查申請案。</w:t>
      </w:r>
    </w:p>
    <w:p w:rsidR="00AB6227" w:rsidRDefault="00AB6227" w:rsidP="00AB6227">
      <w:pPr>
        <w:pStyle w:val="Standard"/>
        <w:snapToGrid w:val="0"/>
        <w:spacing w:line="460" w:lineRule="exact"/>
        <w:ind w:firstLine="1134"/>
        <w:jc w:val="both"/>
        <w:rPr>
          <w:rFonts w:ascii="標楷體" w:eastAsia="標楷體" w:hAnsi="標楷體" w:cs="標楷體"/>
          <w:color w:val="000000"/>
          <w:sz w:val="28"/>
          <w:szCs w:val="28"/>
        </w:rPr>
      </w:pPr>
      <w:r>
        <w:rPr>
          <w:rFonts w:ascii="標楷體" w:eastAsia="標楷體" w:hAnsi="標楷體" w:cs="標楷體"/>
          <w:color w:val="000000"/>
          <w:sz w:val="28"/>
          <w:szCs w:val="28"/>
        </w:rPr>
        <w:t>前項審查，得通知申請單位及支援團隊派員列席說明。</w:t>
      </w:r>
    </w:p>
    <w:p w:rsidR="00AB6227" w:rsidRDefault="00AB6227" w:rsidP="00AB6227">
      <w:pPr>
        <w:pStyle w:val="Standard"/>
        <w:snapToGrid w:val="0"/>
        <w:spacing w:line="460" w:lineRule="exact"/>
        <w:ind w:left="708" w:hanging="708"/>
        <w:jc w:val="both"/>
      </w:pPr>
      <w:r>
        <w:rPr>
          <w:rFonts w:ascii="標楷體" w:eastAsia="標楷體" w:hAnsi="標楷體" w:cs="標楷體"/>
          <w:color w:val="000000"/>
          <w:sz w:val="28"/>
          <w:szCs w:val="28"/>
        </w:rPr>
        <w:t>七、申請案之審查基準如下：</w:t>
      </w:r>
    </w:p>
    <w:p w:rsidR="00AB6227" w:rsidRDefault="00AB6227" w:rsidP="00AB6227">
      <w:pPr>
        <w:pStyle w:val="Standard"/>
        <w:snapToGrid w:val="0"/>
        <w:spacing w:line="460" w:lineRule="exact"/>
        <w:ind w:left="1132"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ab/>
        <w:t>研究團隊研究成果及曾參與運動科學支援競技運動之經驗與績效。</w:t>
      </w:r>
    </w:p>
    <w:p w:rsidR="00AB6227" w:rsidRDefault="00AB6227" w:rsidP="00AB6227">
      <w:pPr>
        <w:pStyle w:val="Standard"/>
        <w:snapToGrid w:val="0"/>
        <w:spacing w:line="460" w:lineRule="exact"/>
        <w:ind w:left="1132"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(二)</w:t>
      </w:r>
      <w:r>
        <w:rPr>
          <w:rFonts w:ascii="標楷體" w:eastAsia="標楷體" w:hAnsi="標楷體" w:cs="標楷體"/>
          <w:color w:val="000000"/>
          <w:sz w:val="28"/>
          <w:szCs w:val="28"/>
        </w:rPr>
        <w:tab/>
        <w:t>計畫之可行性。</w:t>
      </w:r>
    </w:p>
    <w:p w:rsidR="00AB6227" w:rsidRDefault="00AB6227" w:rsidP="00AB6227">
      <w:pPr>
        <w:pStyle w:val="Standard"/>
        <w:snapToGrid w:val="0"/>
        <w:spacing w:line="460" w:lineRule="exact"/>
        <w:ind w:left="1132"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(三)</w:t>
      </w:r>
      <w:r>
        <w:rPr>
          <w:rFonts w:ascii="標楷體" w:eastAsia="標楷體" w:hAnsi="標楷體" w:cs="標楷體"/>
          <w:color w:val="000000"/>
          <w:sz w:val="28"/>
          <w:szCs w:val="28"/>
        </w:rPr>
        <w:tab/>
        <w:t>提升運動表現之目標。</w:t>
      </w:r>
    </w:p>
    <w:p w:rsidR="00AB6227" w:rsidRDefault="00AB6227" w:rsidP="00AB6227">
      <w:pPr>
        <w:pStyle w:val="Standard"/>
        <w:snapToGrid w:val="0"/>
        <w:spacing w:line="460" w:lineRule="exact"/>
        <w:ind w:left="1132" w:hanging="566"/>
        <w:jc w:val="both"/>
        <w:rPr>
          <w:rFonts w:ascii="標楷體" w:eastAsia="標楷體" w:hAnsi="標楷體" w:cs="標楷體"/>
          <w:color w:val="000000"/>
          <w:sz w:val="28"/>
          <w:szCs w:val="28"/>
        </w:rPr>
      </w:pPr>
      <w:r>
        <w:rPr>
          <w:rFonts w:ascii="標楷體" w:eastAsia="標楷體" w:hAnsi="標楷體" w:cs="標楷體"/>
          <w:color w:val="000000"/>
          <w:sz w:val="28"/>
          <w:szCs w:val="28"/>
        </w:rPr>
        <w:t>(四)</w:t>
      </w:r>
      <w:r>
        <w:rPr>
          <w:rFonts w:ascii="標楷體" w:eastAsia="標楷體" w:hAnsi="標楷體" w:cs="標楷體"/>
          <w:color w:val="000000"/>
          <w:sz w:val="28"/>
          <w:szCs w:val="28"/>
        </w:rPr>
        <w:tab/>
        <w:t>經費編列之合理性；申請案向二個以上機關提出申請補（捐）助者，應列明向各機關申請補（捐）助之經費、項目及金額。</w:t>
      </w:r>
    </w:p>
    <w:p w:rsidR="00AB6227" w:rsidRDefault="00AB6227" w:rsidP="00AB6227">
      <w:pPr>
        <w:pStyle w:val="Standard"/>
        <w:snapToGrid w:val="0"/>
        <w:spacing w:line="460" w:lineRule="exact"/>
        <w:ind w:left="566" w:hanging="566"/>
        <w:jc w:val="both"/>
      </w:pPr>
      <w:r>
        <w:rPr>
          <w:rFonts w:ascii="標楷體" w:eastAsia="標楷體" w:hAnsi="標楷體" w:cs="標楷體"/>
          <w:color w:val="000000"/>
          <w:sz w:val="28"/>
          <w:szCs w:val="28"/>
        </w:rPr>
        <w:t>八、本部應將審查結果通知申請單位。</w:t>
      </w:r>
    </w:p>
    <w:p w:rsidR="00AB6227" w:rsidRDefault="00AB6227" w:rsidP="00AB6227">
      <w:pPr>
        <w:pStyle w:val="Standard"/>
        <w:snapToGrid w:val="0"/>
        <w:spacing w:line="460" w:lineRule="exact"/>
        <w:ind w:left="566" w:hanging="566"/>
        <w:jc w:val="both"/>
      </w:pPr>
      <w:r>
        <w:rPr>
          <w:rFonts w:ascii="標楷體" w:eastAsia="標楷體" w:hAnsi="標楷體" w:cs="標楷體"/>
          <w:color w:val="000000"/>
          <w:sz w:val="28"/>
          <w:szCs w:val="28"/>
        </w:rPr>
        <w:t>九、申請案費用編列之項目，以耗材物品費、設備租用、維護費、委託檢測費、國內旅費、短程車資、運費、工作費、行政管理費及出席費為限；其編列金額之上限，如附表。</w:t>
      </w:r>
    </w:p>
    <w:p w:rsidR="00AB6227" w:rsidRDefault="00AB6227" w:rsidP="00AB6227">
      <w:pPr>
        <w:pStyle w:val="Standard"/>
        <w:snapToGrid w:val="0"/>
        <w:spacing w:line="460" w:lineRule="exact"/>
        <w:ind w:left="566" w:hanging="566"/>
        <w:jc w:val="both"/>
      </w:pPr>
      <w:r>
        <w:rPr>
          <w:rFonts w:ascii="標楷體" w:eastAsia="標楷體" w:hAnsi="標楷體" w:cs="標楷體"/>
          <w:color w:val="000000"/>
          <w:sz w:val="28"/>
          <w:szCs w:val="28"/>
        </w:rPr>
        <w:t>十、受補助單位如以經核定之計畫再向其他機關申請補（捐）助，應列明向各機關申請補（捐）助之經費、項目及金額報體育署同意後，始得辦理；其有重複補助之情事者，由本部廢止其補助，並追繳已核撥之補助款。</w:t>
      </w:r>
    </w:p>
    <w:p w:rsidR="00AB6227" w:rsidRDefault="00AB6227" w:rsidP="00AB6227">
      <w:pPr>
        <w:pStyle w:val="Standard"/>
        <w:snapToGrid w:val="0"/>
        <w:spacing w:line="460" w:lineRule="exact"/>
        <w:ind w:left="848" w:hanging="848"/>
        <w:jc w:val="both"/>
      </w:pPr>
      <w:r>
        <w:rPr>
          <w:rFonts w:ascii="標楷體" w:eastAsia="標楷體" w:hAnsi="標楷體" w:cs="標楷體"/>
          <w:color w:val="000000"/>
          <w:sz w:val="28"/>
          <w:szCs w:val="28"/>
        </w:rPr>
        <w:t>十一、受補助單位應依核定之計畫執行；有修正計畫必要者，應報本部核准後，始得依修正後計畫辦理；未經核准擅自變更計畫者，由本部廢止全部或部分之補助，並追繳已核撥之全部或部分補助款。</w:t>
      </w:r>
    </w:p>
    <w:p w:rsidR="00AB6227" w:rsidRDefault="00AB6227" w:rsidP="00AB6227">
      <w:pPr>
        <w:pStyle w:val="Standard"/>
        <w:snapToGrid w:val="0"/>
        <w:spacing w:line="460" w:lineRule="exact"/>
        <w:ind w:left="850"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受補助單位執行效益不佳者，本部得視情節輕重，廢止全部或部分之補助，並停止受理受補助單位一年至三年之補助申請。受補助單位辦理不善，經通知限期改善，逾期未改善者，亦同。</w:t>
      </w:r>
    </w:p>
    <w:p w:rsidR="00AB6227" w:rsidRDefault="00AB6227" w:rsidP="00AB6227">
      <w:pPr>
        <w:pStyle w:val="Standard"/>
        <w:snapToGrid w:val="0"/>
        <w:spacing w:line="460" w:lineRule="exact"/>
        <w:ind w:left="848" w:hanging="848"/>
        <w:jc w:val="both"/>
      </w:pPr>
      <w:r>
        <w:rPr>
          <w:rFonts w:ascii="標楷體" w:eastAsia="標楷體" w:hAnsi="標楷體" w:cs="標楷體"/>
          <w:color w:val="000000"/>
          <w:sz w:val="28"/>
          <w:szCs w:val="28"/>
        </w:rPr>
        <w:t>十二、受補助單位執行本部補助經費辦理採購事項有政府採購法第四條規定情形者，應依政府採購法相關規定辦理。</w:t>
      </w:r>
    </w:p>
    <w:p w:rsidR="00AB6227" w:rsidRDefault="00AB6227" w:rsidP="00AB6227">
      <w:pPr>
        <w:pStyle w:val="Standard"/>
        <w:snapToGrid w:val="0"/>
        <w:spacing w:line="460" w:lineRule="exact"/>
        <w:ind w:left="848" w:hanging="848"/>
        <w:jc w:val="both"/>
      </w:pPr>
      <w:r>
        <w:rPr>
          <w:rFonts w:ascii="標楷體" w:eastAsia="標楷體" w:hAnsi="標楷體" w:cs="標楷體"/>
          <w:color w:val="000000"/>
          <w:sz w:val="28"/>
          <w:szCs w:val="28"/>
        </w:rPr>
        <w:t>十三、受補助單位因不可抗力之因素無法繼續執行計畫時，得向本部申請終止計畫，並繳回已核撥之全部補助款。</w:t>
      </w:r>
    </w:p>
    <w:p w:rsidR="00AB6227" w:rsidRDefault="00AB6227" w:rsidP="00AB6227">
      <w:pPr>
        <w:pStyle w:val="Standard"/>
        <w:snapToGrid w:val="0"/>
        <w:spacing w:line="420" w:lineRule="exact"/>
        <w:ind w:left="848" w:hanging="848"/>
        <w:jc w:val="both"/>
      </w:pPr>
      <w:r>
        <w:rPr>
          <w:rFonts w:ascii="標楷體" w:eastAsia="標楷體" w:hAnsi="標楷體" w:cs="標楷體"/>
          <w:sz w:val="28"/>
        </w:rPr>
        <w:lastRenderedPageBreak/>
        <w:t>十四、受補助單位之計畫執行成果不得侵害他人之智慧財產權、人格權及其他權利；其涉及智慧財產權之糾紛或人格權及任何權利之侵害者，由受補助單位及執行人員自負法律責任。</w:t>
      </w:r>
    </w:p>
    <w:p w:rsidR="00AB6227" w:rsidRDefault="00AB6227" w:rsidP="00AB6227">
      <w:pPr>
        <w:pStyle w:val="Standard"/>
        <w:snapToGrid w:val="0"/>
        <w:spacing w:line="420" w:lineRule="exact"/>
        <w:ind w:left="848" w:hanging="848"/>
        <w:jc w:val="both"/>
      </w:pPr>
      <w:r>
        <w:rPr>
          <w:rFonts w:ascii="標楷體" w:eastAsia="標楷體" w:hAnsi="標楷體" w:cs="標楷體"/>
          <w:sz w:val="28"/>
        </w:rPr>
        <w:t>十五、成果報告內容有侵害智慧財產權或違反學術倫理情事者，本部應廢止其補助，並追繳已核撥之補助款。</w:t>
      </w:r>
    </w:p>
    <w:p w:rsidR="00AB6227" w:rsidRDefault="00AB6227" w:rsidP="00AB6227">
      <w:pPr>
        <w:pStyle w:val="Standard"/>
        <w:snapToGrid w:val="0"/>
        <w:spacing w:line="420" w:lineRule="exact"/>
        <w:ind w:left="848" w:hanging="848"/>
        <w:jc w:val="both"/>
      </w:pPr>
      <w:r>
        <w:rPr>
          <w:rFonts w:ascii="標楷體" w:eastAsia="標楷體" w:hAnsi="標楷體" w:cs="標楷體"/>
          <w:sz w:val="28"/>
        </w:rPr>
        <w:t>十六、受補助單位應於計畫執行完成</w:t>
      </w:r>
      <w:proofErr w:type="gramStart"/>
      <w:r>
        <w:rPr>
          <w:rFonts w:ascii="標楷體" w:eastAsia="標楷體" w:hAnsi="標楷體" w:cs="標楷體"/>
          <w:sz w:val="28"/>
        </w:rPr>
        <w:t>三</w:t>
      </w:r>
      <w:proofErr w:type="gramEnd"/>
      <w:r>
        <w:rPr>
          <w:rFonts w:ascii="標楷體" w:eastAsia="標楷體" w:hAnsi="標楷體" w:cs="標楷體"/>
          <w:sz w:val="28"/>
        </w:rPr>
        <w:t>十日內，檢具成果報告及相關資料(包括光碟)報體育署。</w:t>
      </w:r>
    </w:p>
    <w:p w:rsidR="00AB6227" w:rsidRDefault="00AB6227" w:rsidP="00AB6227">
      <w:pPr>
        <w:pStyle w:val="Standard"/>
        <w:snapToGrid w:val="0"/>
        <w:spacing w:line="420" w:lineRule="exact"/>
        <w:ind w:left="847" w:firstLine="568"/>
        <w:jc w:val="both"/>
        <w:rPr>
          <w:rFonts w:ascii="標楷體" w:eastAsia="標楷體" w:hAnsi="標楷體" w:cs="標楷體"/>
          <w:sz w:val="28"/>
        </w:rPr>
      </w:pPr>
      <w:r>
        <w:rPr>
          <w:rFonts w:ascii="標楷體" w:eastAsia="標楷體" w:hAnsi="標楷體" w:cs="標楷體"/>
          <w:sz w:val="28"/>
        </w:rPr>
        <w:t>受補助單位應無償授權本部得對前項成果報告永久以各種方式利用；如成果報告內容涉及第三人之智慧財產權者，應由本部授權受補助單位代理本部完成與該第三人簽訂授權本部利用之契約，其費用由受補助單位負擔。</w:t>
      </w:r>
    </w:p>
    <w:p w:rsidR="00AB6227" w:rsidRDefault="00AB6227" w:rsidP="00AB6227">
      <w:pPr>
        <w:pStyle w:val="Standard"/>
        <w:snapToGrid w:val="0"/>
        <w:spacing w:line="420" w:lineRule="exact"/>
        <w:ind w:left="850" w:firstLine="566"/>
        <w:jc w:val="both"/>
        <w:rPr>
          <w:rFonts w:ascii="標楷體" w:eastAsia="標楷體" w:hAnsi="標楷體" w:cs="標楷體"/>
          <w:sz w:val="28"/>
        </w:rPr>
      </w:pPr>
      <w:r>
        <w:rPr>
          <w:rFonts w:ascii="標楷體" w:eastAsia="標楷體" w:hAnsi="標楷體" w:cs="標楷體"/>
          <w:sz w:val="28"/>
        </w:rPr>
        <w:t>前項第三人不同意授權本部利用者，其著作或專利等得</w:t>
      </w:r>
      <w:proofErr w:type="gramStart"/>
      <w:r>
        <w:rPr>
          <w:rFonts w:ascii="標楷體" w:eastAsia="標楷體" w:hAnsi="標楷體" w:cs="標楷體"/>
          <w:sz w:val="28"/>
        </w:rPr>
        <w:t>不</w:t>
      </w:r>
      <w:proofErr w:type="gramEnd"/>
      <w:r>
        <w:rPr>
          <w:rFonts w:ascii="標楷體" w:eastAsia="標楷體" w:hAnsi="標楷體" w:cs="標楷體"/>
          <w:sz w:val="28"/>
        </w:rPr>
        <w:t>列於成果報告。</w:t>
      </w:r>
    </w:p>
    <w:p w:rsidR="00AB6227" w:rsidRDefault="00AB6227" w:rsidP="00AB6227">
      <w:pPr>
        <w:pStyle w:val="Standard"/>
        <w:snapToGrid w:val="0"/>
        <w:spacing w:line="420" w:lineRule="exact"/>
        <w:ind w:left="851" w:hanging="851"/>
        <w:jc w:val="both"/>
      </w:pPr>
      <w:r>
        <w:rPr>
          <w:rFonts w:ascii="標楷體" w:eastAsia="標楷體" w:hAnsi="標楷體" w:cs="標楷體"/>
          <w:sz w:val="28"/>
        </w:rPr>
        <w:t>十七、受補助單位應於成果報告揭示或載明「教育部運動發展基金補助」或「Subsidies from the Ministry of Education Sports Development Fund」字樣，並於體育署網站公開；必要時，應配合本部辦理公開發表。</w:t>
      </w:r>
    </w:p>
    <w:p w:rsidR="00AB6227" w:rsidRDefault="00AB6227" w:rsidP="00AB6227">
      <w:pPr>
        <w:pStyle w:val="Standard"/>
        <w:snapToGrid w:val="0"/>
        <w:spacing w:line="420" w:lineRule="exact"/>
        <w:ind w:left="851" w:hanging="851"/>
        <w:jc w:val="both"/>
      </w:pPr>
      <w:r>
        <w:rPr>
          <w:rFonts w:ascii="標楷體" w:eastAsia="標楷體" w:hAnsi="標楷體" w:cs="標楷體"/>
          <w:sz w:val="28"/>
        </w:rPr>
        <w:t>十八、受補助單位應依本部補助及委辦經費</w:t>
      </w:r>
      <w:proofErr w:type="gramStart"/>
      <w:r>
        <w:rPr>
          <w:rFonts w:ascii="標楷體" w:eastAsia="標楷體" w:hAnsi="標楷體" w:cs="標楷體"/>
          <w:sz w:val="28"/>
        </w:rPr>
        <w:t>核撥結報</w:t>
      </w:r>
      <w:proofErr w:type="gramEnd"/>
      <w:r>
        <w:rPr>
          <w:rFonts w:ascii="標楷體" w:eastAsia="標楷體" w:hAnsi="標楷體" w:cs="標楷體"/>
          <w:sz w:val="28"/>
        </w:rPr>
        <w:t>作業要點之規定，辦理經費之請撥</w:t>
      </w:r>
      <w:proofErr w:type="gramStart"/>
      <w:r>
        <w:rPr>
          <w:rFonts w:ascii="標楷體" w:eastAsia="標楷體" w:hAnsi="標楷體" w:cs="標楷體"/>
          <w:sz w:val="28"/>
        </w:rPr>
        <w:t>及核結</w:t>
      </w:r>
      <w:proofErr w:type="gramEnd"/>
      <w:r>
        <w:rPr>
          <w:rFonts w:ascii="標楷體" w:eastAsia="標楷體" w:hAnsi="標楷體" w:cs="標楷體"/>
          <w:sz w:val="28"/>
        </w:rPr>
        <w:t>。</w:t>
      </w:r>
    </w:p>
    <w:p w:rsidR="00AB6227" w:rsidRDefault="00AB6227" w:rsidP="00AB6227">
      <w:pPr>
        <w:pStyle w:val="Standard"/>
        <w:pageBreakBefore/>
        <w:rPr>
          <w:rFonts w:ascii="標楷體" w:eastAsia="標楷體" w:hAnsi="標楷體" w:cs="標楷體"/>
        </w:rPr>
      </w:pPr>
      <w:r>
        <w:rPr>
          <w:rFonts w:ascii="標楷體" w:eastAsia="標楷體" w:hAnsi="標楷體" w:cs="標楷體"/>
        </w:rPr>
        <w:lastRenderedPageBreak/>
        <w:t>附表</w:t>
      </w:r>
    </w:p>
    <w:p w:rsidR="00AB6227" w:rsidRDefault="00AB6227" w:rsidP="00AB6227">
      <w:pPr>
        <w:pStyle w:val="Standard"/>
        <w:jc w:val="center"/>
      </w:pPr>
      <w:r>
        <w:rPr>
          <w:rFonts w:ascii="標楷體" w:eastAsia="標楷體" w:hAnsi="標楷體" w:cs="標楷體"/>
          <w:color w:val="000000"/>
          <w:szCs w:val="24"/>
        </w:rPr>
        <w:t>教育部運動發展基金補助運動科學支援競技運動計畫經費編列基準表</w:t>
      </w:r>
    </w:p>
    <w:p w:rsidR="00AB6227" w:rsidRDefault="00AB6227" w:rsidP="00AB6227">
      <w:pPr>
        <w:pStyle w:val="Standard"/>
        <w:jc w:val="right"/>
        <w:rPr>
          <w:rFonts w:ascii="標楷體" w:eastAsia="標楷體" w:hAnsi="標楷體" w:cs="標楷體"/>
          <w:color w:val="000000"/>
          <w:szCs w:val="24"/>
        </w:rPr>
      </w:pPr>
      <w:r>
        <w:rPr>
          <w:rFonts w:ascii="標楷體" w:eastAsia="標楷體" w:hAnsi="標楷體" w:cs="標楷體"/>
          <w:color w:val="000000"/>
          <w:szCs w:val="24"/>
        </w:rPr>
        <w:t>(單位：新臺幣)</w:t>
      </w:r>
    </w:p>
    <w:tbl>
      <w:tblPr>
        <w:tblW w:w="8372" w:type="dxa"/>
        <w:tblInd w:w="-113" w:type="dxa"/>
        <w:tblLayout w:type="fixed"/>
        <w:tblCellMar>
          <w:left w:w="10" w:type="dxa"/>
          <w:right w:w="10" w:type="dxa"/>
        </w:tblCellMar>
        <w:tblLook w:val="0000" w:firstRow="0" w:lastRow="0" w:firstColumn="0" w:lastColumn="0" w:noHBand="0" w:noVBand="0"/>
      </w:tblPr>
      <w:tblGrid>
        <w:gridCol w:w="1809"/>
        <w:gridCol w:w="851"/>
        <w:gridCol w:w="2410"/>
        <w:gridCol w:w="1619"/>
        <w:gridCol w:w="1683"/>
      </w:tblGrid>
      <w:tr w:rsidR="00AB6227" w:rsidTr="00F73E1A">
        <w:tblPrEx>
          <w:tblCellMar>
            <w:top w:w="0" w:type="dxa"/>
            <w:bottom w:w="0" w:type="dxa"/>
          </w:tblCellMar>
        </w:tblPrEx>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jc w:val="both"/>
              <w:rPr>
                <w:rFonts w:ascii="標楷體" w:eastAsia="標楷體" w:hAnsi="標楷體" w:cs="標楷體"/>
                <w:szCs w:val="24"/>
              </w:rPr>
            </w:pPr>
            <w:r>
              <w:rPr>
                <w:rFonts w:ascii="標楷體" w:eastAsia="標楷體" w:hAnsi="標楷體" w:cs="標楷體"/>
                <w:szCs w:val="24"/>
              </w:rPr>
              <w:t>項目</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jc w:val="both"/>
              <w:rPr>
                <w:rFonts w:ascii="標楷體" w:eastAsia="標楷體" w:hAnsi="標楷體" w:cs="標楷體"/>
                <w:szCs w:val="24"/>
              </w:rPr>
            </w:pPr>
            <w:r>
              <w:rPr>
                <w:rFonts w:ascii="標楷體" w:eastAsia="標楷體" w:hAnsi="標楷體" w:cs="標楷體"/>
                <w:szCs w:val="24"/>
              </w:rPr>
              <w:t>單位</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jc w:val="both"/>
              <w:rPr>
                <w:rFonts w:ascii="標楷體" w:eastAsia="標楷體" w:hAnsi="標楷體" w:cs="標楷體"/>
                <w:szCs w:val="24"/>
              </w:rPr>
            </w:pPr>
            <w:r>
              <w:rPr>
                <w:rFonts w:ascii="標楷體" w:eastAsia="標楷體" w:hAnsi="標楷體" w:cs="標楷體"/>
                <w:szCs w:val="24"/>
              </w:rPr>
              <w:t>編列基準</w:t>
            </w:r>
          </w:p>
        </w:tc>
        <w:tc>
          <w:tcPr>
            <w:tcW w:w="1619"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jc w:val="both"/>
              <w:rPr>
                <w:rFonts w:ascii="標楷體" w:eastAsia="標楷體" w:hAnsi="標楷體" w:cs="標楷體"/>
                <w:szCs w:val="24"/>
              </w:rPr>
            </w:pPr>
            <w:r>
              <w:rPr>
                <w:rFonts w:ascii="標楷體" w:eastAsia="標楷體" w:hAnsi="標楷體" w:cs="標楷體"/>
                <w:szCs w:val="24"/>
              </w:rPr>
              <w:t>定義</w:t>
            </w:r>
          </w:p>
        </w:tc>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227" w:rsidRDefault="00AB6227" w:rsidP="00F73E1A">
            <w:pPr>
              <w:pStyle w:val="Standard"/>
              <w:jc w:val="both"/>
              <w:rPr>
                <w:rFonts w:ascii="標楷體" w:eastAsia="標楷體" w:hAnsi="標楷體" w:cs="標楷體"/>
                <w:szCs w:val="24"/>
              </w:rPr>
            </w:pPr>
            <w:r>
              <w:rPr>
                <w:rFonts w:ascii="標楷體" w:eastAsia="標楷體" w:hAnsi="標楷體" w:cs="標楷體"/>
                <w:szCs w:val="24"/>
              </w:rPr>
              <w:t>支用說明</w:t>
            </w:r>
          </w:p>
        </w:tc>
      </w:tr>
      <w:tr w:rsidR="00AB6227" w:rsidTr="00F73E1A">
        <w:tblPrEx>
          <w:tblCellMar>
            <w:top w:w="0" w:type="dxa"/>
            <w:bottom w:w="0" w:type="dxa"/>
          </w:tblCellMar>
        </w:tblPrEx>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AB6227">
            <w:pPr>
              <w:pStyle w:val="a5"/>
              <w:numPr>
                <w:ilvl w:val="0"/>
                <w:numId w:val="7"/>
              </w:numPr>
              <w:ind w:left="567" w:hanging="567"/>
              <w:jc w:val="both"/>
            </w:pPr>
            <w:r>
              <w:rPr>
                <w:rFonts w:ascii="標楷體" w:eastAsia="標楷體" w:hAnsi="標楷體" w:cs="標楷體"/>
                <w:szCs w:val="24"/>
              </w:rPr>
              <w:t>耗材物品費</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snapToGrid w:val="0"/>
              <w:jc w:val="both"/>
              <w:rPr>
                <w:rFonts w:ascii="標楷體" w:eastAsia="標楷體" w:hAnsi="標楷體" w:cs="標楷體"/>
                <w:szCs w:val="24"/>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jc w:val="both"/>
              <w:rPr>
                <w:rFonts w:ascii="標楷體" w:eastAsia="標楷體" w:hAnsi="標楷體" w:cs="標楷體"/>
                <w:color w:val="000000"/>
                <w:szCs w:val="24"/>
              </w:rPr>
            </w:pPr>
            <w:r>
              <w:rPr>
                <w:rFonts w:ascii="標楷體" w:eastAsia="標楷體" w:hAnsi="標楷體" w:cs="標楷體"/>
                <w:color w:val="000000"/>
                <w:szCs w:val="24"/>
              </w:rPr>
              <w:t>核實編列</w:t>
            </w:r>
          </w:p>
        </w:tc>
        <w:tc>
          <w:tcPr>
            <w:tcW w:w="1619"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jc w:val="both"/>
              <w:rPr>
                <w:rFonts w:ascii="標楷體" w:eastAsia="標楷體" w:hAnsi="標楷體" w:cs="標楷體"/>
                <w:szCs w:val="24"/>
              </w:rPr>
            </w:pPr>
            <w:r>
              <w:rPr>
                <w:rFonts w:ascii="標楷體" w:eastAsia="標楷體" w:hAnsi="標楷體" w:cs="標楷體"/>
                <w:szCs w:val="24"/>
              </w:rPr>
              <w:t>限用與計畫直接有關之1萬元以下之消耗性物品費用等</w:t>
            </w:r>
          </w:p>
        </w:tc>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227" w:rsidRDefault="00AB6227" w:rsidP="00F73E1A">
            <w:pPr>
              <w:pStyle w:val="Standard"/>
              <w:snapToGrid w:val="0"/>
              <w:jc w:val="both"/>
              <w:rPr>
                <w:rFonts w:ascii="標楷體" w:eastAsia="標楷體" w:hAnsi="標楷體" w:cs="標楷體"/>
                <w:szCs w:val="24"/>
              </w:rPr>
            </w:pPr>
          </w:p>
        </w:tc>
      </w:tr>
      <w:tr w:rsidR="00AB6227" w:rsidTr="00F73E1A">
        <w:tblPrEx>
          <w:tblCellMar>
            <w:top w:w="0" w:type="dxa"/>
            <w:bottom w:w="0" w:type="dxa"/>
          </w:tblCellMar>
        </w:tblPrEx>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AB6227">
            <w:pPr>
              <w:pStyle w:val="a5"/>
              <w:numPr>
                <w:ilvl w:val="0"/>
                <w:numId w:val="6"/>
              </w:numPr>
              <w:ind w:left="567" w:hanging="567"/>
              <w:jc w:val="both"/>
              <w:rPr>
                <w:rFonts w:ascii="標楷體" w:eastAsia="標楷體" w:hAnsi="標楷體" w:cs="標楷體"/>
                <w:szCs w:val="24"/>
              </w:rPr>
            </w:pPr>
            <w:r>
              <w:rPr>
                <w:rFonts w:ascii="標楷體" w:eastAsia="標楷體" w:hAnsi="標楷體" w:cs="標楷體"/>
                <w:szCs w:val="24"/>
              </w:rPr>
              <w:t>設備租用、維護費</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snapToGrid w:val="0"/>
              <w:jc w:val="both"/>
              <w:rPr>
                <w:rFonts w:ascii="標楷體" w:eastAsia="標楷體" w:hAnsi="標楷體" w:cs="標楷體"/>
                <w:szCs w:val="24"/>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jc w:val="both"/>
              <w:rPr>
                <w:rFonts w:ascii="標楷體" w:eastAsia="標楷體" w:hAnsi="標楷體" w:cs="標楷體"/>
                <w:color w:val="000000"/>
                <w:szCs w:val="24"/>
              </w:rPr>
            </w:pPr>
            <w:r>
              <w:rPr>
                <w:rFonts w:ascii="標楷體" w:eastAsia="標楷體" w:hAnsi="標楷體" w:cs="標楷體"/>
                <w:color w:val="000000"/>
                <w:szCs w:val="24"/>
              </w:rPr>
              <w:t>核實編列</w:t>
            </w:r>
          </w:p>
        </w:tc>
        <w:tc>
          <w:tcPr>
            <w:tcW w:w="1619"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snapToGrid w:val="0"/>
              <w:spacing w:line="300" w:lineRule="exact"/>
              <w:jc w:val="both"/>
              <w:rPr>
                <w:rFonts w:ascii="標楷體" w:eastAsia="標楷體" w:hAnsi="標楷體" w:cs="標楷體"/>
                <w:color w:val="000000"/>
                <w:szCs w:val="24"/>
              </w:rPr>
            </w:pPr>
            <w:r>
              <w:rPr>
                <w:rFonts w:ascii="標楷體" w:eastAsia="標楷體" w:hAnsi="標楷體" w:cs="標楷體"/>
                <w:color w:val="000000"/>
                <w:szCs w:val="24"/>
              </w:rPr>
              <w:t>各執行單位因執行計畫，所分攤之電腦、儀器設備或軟體使用費用。</w:t>
            </w:r>
          </w:p>
        </w:tc>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227" w:rsidRDefault="00AB6227" w:rsidP="00F73E1A">
            <w:pPr>
              <w:pStyle w:val="Standard"/>
              <w:snapToGrid w:val="0"/>
              <w:spacing w:line="300" w:lineRule="exact"/>
              <w:jc w:val="both"/>
              <w:rPr>
                <w:rFonts w:ascii="標楷體" w:eastAsia="標楷體" w:hAnsi="標楷體" w:cs="標楷體"/>
                <w:color w:val="000000"/>
                <w:szCs w:val="24"/>
              </w:rPr>
            </w:pPr>
            <w:proofErr w:type="gramStart"/>
            <w:r>
              <w:rPr>
                <w:rFonts w:ascii="標楷體" w:eastAsia="標楷體" w:hAnsi="標楷體" w:cs="標楷體"/>
                <w:color w:val="000000"/>
                <w:szCs w:val="24"/>
              </w:rPr>
              <w:t>如出具</w:t>
            </w:r>
            <w:proofErr w:type="gramEnd"/>
            <w:r>
              <w:rPr>
                <w:rFonts w:ascii="標楷體" w:eastAsia="標楷體" w:hAnsi="標楷體" w:cs="標楷體"/>
                <w:color w:val="000000"/>
                <w:szCs w:val="24"/>
              </w:rPr>
              <w:t>領據報銷，應檢附計算標準、實際使用時數及耗材支用情形等支出數據資料。</w:t>
            </w:r>
          </w:p>
        </w:tc>
      </w:tr>
      <w:tr w:rsidR="00AB6227" w:rsidTr="00F73E1A">
        <w:tblPrEx>
          <w:tblCellMar>
            <w:top w:w="0" w:type="dxa"/>
            <w:bottom w:w="0" w:type="dxa"/>
          </w:tblCellMar>
        </w:tblPrEx>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AB6227">
            <w:pPr>
              <w:pStyle w:val="a5"/>
              <w:numPr>
                <w:ilvl w:val="0"/>
                <w:numId w:val="6"/>
              </w:numPr>
              <w:ind w:left="567" w:hanging="567"/>
              <w:jc w:val="both"/>
              <w:rPr>
                <w:rFonts w:ascii="標楷體" w:eastAsia="標楷體" w:hAnsi="標楷體" w:cs="標楷體"/>
                <w:szCs w:val="24"/>
              </w:rPr>
            </w:pPr>
            <w:r>
              <w:rPr>
                <w:rFonts w:ascii="標楷體" w:eastAsia="標楷體" w:hAnsi="標楷體" w:cs="標楷體"/>
                <w:szCs w:val="24"/>
              </w:rPr>
              <w:t>委託檢測費</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snapToGrid w:val="0"/>
              <w:jc w:val="both"/>
              <w:rPr>
                <w:rFonts w:ascii="標楷體" w:eastAsia="標楷體" w:hAnsi="標楷體" w:cs="標楷體"/>
                <w:szCs w:val="24"/>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jc w:val="both"/>
              <w:rPr>
                <w:rFonts w:ascii="標楷體" w:eastAsia="標楷體" w:hAnsi="標楷體" w:cs="標楷體"/>
                <w:color w:val="000000"/>
                <w:szCs w:val="24"/>
              </w:rPr>
            </w:pPr>
            <w:r>
              <w:rPr>
                <w:rFonts w:ascii="標楷體" w:eastAsia="標楷體" w:hAnsi="標楷體" w:cs="標楷體"/>
                <w:color w:val="000000"/>
                <w:szCs w:val="24"/>
              </w:rPr>
              <w:t>核實編列</w:t>
            </w:r>
          </w:p>
        </w:tc>
        <w:tc>
          <w:tcPr>
            <w:tcW w:w="1619"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jc w:val="both"/>
            </w:pPr>
            <w:r>
              <w:rPr>
                <w:rFonts w:ascii="標楷體" w:eastAsia="標楷體" w:hAnsi="標楷體" w:cs="標楷體"/>
                <w:szCs w:val="24"/>
              </w:rPr>
              <w:t>委託檢測項目以計畫編列之人力及設備無法執行之專業技能</w:t>
            </w:r>
            <w:r>
              <w:rPr>
                <w:rFonts w:ascii="標楷體" w:eastAsia="標楷體" w:hAnsi="標楷體" w:cs="標楷體"/>
                <w:color w:val="000000"/>
                <w:szCs w:val="24"/>
              </w:rPr>
              <w:t>。</w:t>
            </w:r>
          </w:p>
        </w:tc>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227" w:rsidRDefault="00AB6227" w:rsidP="00F73E1A">
            <w:pPr>
              <w:pStyle w:val="Standard"/>
              <w:jc w:val="both"/>
              <w:rPr>
                <w:rFonts w:ascii="標楷體" w:eastAsia="標楷體" w:hAnsi="標楷體" w:cs="標楷體"/>
                <w:szCs w:val="24"/>
              </w:rPr>
            </w:pPr>
            <w:r>
              <w:rPr>
                <w:rFonts w:ascii="標楷體" w:eastAsia="標楷體" w:hAnsi="標楷體" w:cs="標楷體"/>
                <w:szCs w:val="24"/>
              </w:rPr>
              <w:t>考量多數計畫涉及樣品檢測作業，所需使用貴重儀器設備按檢測項目需求有所不同，各式設備 價格昂貴，專業技術性高，應由專業人員操作為宜，難以由一般租用設備方式執行，故將委託檢測費納入指定補助項目。</w:t>
            </w:r>
          </w:p>
        </w:tc>
      </w:tr>
      <w:tr w:rsidR="00AB6227" w:rsidTr="00F73E1A">
        <w:tblPrEx>
          <w:tblCellMar>
            <w:top w:w="0" w:type="dxa"/>
            <w:bottom w:w="0" w:type="dxa"/>
          </w:tblCellMar>
        </w:tblPrEx>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AB6227">
            <w:pPr>
              <w:pStyle w:val="a5"/>
              <w:numPr>
                <w:ilvl w:val="0"/>
                <w:numId w:val="6"/>
              </w:numPr>
              <w:ind w:left="426" w:hanging="480"/>
              <w:jc w:val="both"/>
            </w:pPr>
            <w:r>
              <w:rPr>
                <w:rFonts w:ascii="標楷體" w:eastAsia="標楷體" w:hAnsi="標楷體" w:cs="標楷體"/>
                <w:szCs w:val="24"/>
              </w:rPr>
              <w:t>國內旅費</w:t>
            </w:r>
            <w:r>
              <w:rPr>
                <w:rFonts w:ascii="標楷體" w:eastAsia="標楷體" w:hAnsi="標楷體" w:cs="標楷體"/>
                <w:color w:val="000000"/>
                <w:spacing w:val="-14"/>
                <w:szCs w:val="24"/>
              </w:rPr>
              <w:t>、短程車資、運費</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jc w:val="both"/>
              <w:rPr>
                <w:rFonts w:ascii="標楷體" w:eastAsia="標楷體" w:hAnsi="標楷體" w:cs="標楷體"/>
                <w:szCs w:val="24"/>
              </w:rPr>
            </w:pPr>
            <w:r>
              <w:rPr>
                <w:rFonts w:ascii="標楷體" w:eastAsia="標楷體" w:hAnsi="標楷體" w:cs="標楷體"/>
                <w:szCs w:val="24"/>
              </w:rPr>
              <w:t>人次</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tabs>
                <w:tab w:val="left" w:pos="1744"/>
              </w:tabs>
              <w:snapToGrid w:val="0"/>
              <w:spacing w:line="300" w:lineRule="exact"/>
              <w:jc w:val="both"/>
            </w:pPr>
            <w:r>
              <w:rPr>
                <w:rFonts w:ascii="標楷體" w:eastAsia="標楷體" w:hAnsi="標楷體" w:cs="標楷體"/>
                <w:color w:val="000000"/>
                <w:szCs w:val="24"/>
              </w:rPr>
              <w:t>短程</w:t>
            </w:r>
            <w:proofErr w:type="gramStart"/>
            <w:r>
              <w:rPr>
                <w:rFonts w:ascii="標楷體" w:eastAsia="標楷體" w:hAnsi="標楷體" w:cs="標楷體"/>
                <w:color w:val="000000"/>
                <w:szCs w:val="24"/>
              </w:rPr>
              <w:t>車資單趟上限</w:t>
            </w:r>
            <w:proofErr w:type="gramEnd"/>
            <w:r>
              <w:rPr>
                <w:rFonts w:ascii="標楷體" w:eastAsia="標楷體" w:hAnsi="標楷體" w:cs="標楷體"/>
                <w:color w:val="000000"/>
                <w:szCs w:val="24"/>
              </w:rPr>
              <w:t>250元</w:t>
            </w:r>
          </w:p>
        </w:tc>
        <w:tc>
          <w:tcPr>
            <w:tcW w:w="1619"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snapToGrid w:val="0"/>
              <w:spacing w:line="300" w:lineRule="exact"/>
              <w:jc w:val="both"/>
              <w:rPr>
                <w:rFonts w:ascii="標楷體" w:eastAsia="標楷體" w:hAnsi="標楷體" w:cs="標楷體"/>
                <w:color w:val="000000"/>
                <w:szCs w:val="24"/>
              </w:rPr>
            </w:pPr>
            <w:r>
              <w:rPr>
                <w:rFonts w:ascii="標楷體" w:eastAsia="標楷體" w:hAnsi="標楷體" w:cs="標楷體"/>
                <w:color w:val="000000"/>
                <w:szCs w:val="24"/>
              </w:rPr>
              <w:t>凡執行計畫所需因公出差旅運費屬之。</w:t>
            </w:r>
          </w:p>
        </w:tc>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227" w:rsidRDefault="00AB6227" w:rsidP="00F73E1A">
            <w:pPr>
              <w:pStyle w:val="Standard"/>
              <w:snapToGrid w:val="0"/>
              <w:spacing w:line="300" w:lineRule="exact"/>
              <w:ind w:left="451" w:hanging="451"/>
              <w:jc w:val="both"/>
              <w:rPr>
                <w:rFonts w:ascii="標楷體" w:eastAsia="標楷體" w:hAnsi="標楷體" w:cs="標楷體"/>
                <w:color w:val="000000"/>
                <w:szCs w:val="24"/>
              </w:rPr>
            </w:pPr>
            <w:r>
              <w:rPr>
                <w:rFonts w:ascii="標楷體" w:eastAsia="標楷體" w:hAnsi="標楷體" w:cs="標楷體"/>
                <w:color w:val="000000"/>
                <w:szCs w:val="24"/>
              </w:rPr>
              <w:t>一、國內旅費之編列及</w:t>
            </w:r>
            <w:proofErr w:type="gramStart"/>
            <w:r>
              <w:rPr>
                <w:rFonts w:ascii="標楷體" w:eastAsia="標楷體" w:hAnsi="標楷體" w:cs="標楷體"/>
                <w:color w:val="000000"/>
                <w:szCs w:val="24"/>
              </w:rPr>
              <w:t>支給依</w:t>
            </w:r>
            <w:proofErr w:type="gramEnd"/>
            <w:r>
              <w:rPr>
                <w:rFonts w:ascii="標楷體" w:eastAsia="標楷體" w:hAnsi="標楷體" w:cs="標楷體"/>
                <w:color w:val="000000"/>
                <w:szCs w:val="24"/>
              </w:rPr>
              <w:t>「國內出差旅費報支要點」辦理。</w:t>
            </w:r>
          </w:p>
          <w:p w:rsidR="00AB6227" w:rsidRDefault="00AB6227" w:rsidP="00F73E1A">
            <w:pPr>
              <w:pStyle w:val="Standard"/>
              <w:snapToGrid w:val="0"/>
              <w:spacing w:line="300" w:lineRule="exact"/>
              <w:ind w:left="451" w:hanging="451"/>
              <w:jc w:val="both"/>
              <w:rPr>
                <w:rFonts w:ascii="標楷體" w:eastAsia="標楷體" w:hAnsi="標楷體" w:cs="標楷體"/>
                <w:color w:val="000000"/>
                <w:szCs w:val="24"/>
              </w:rPr>
            </w:pPr>
            <w:r>
              <w:rPr>
                <w:rFonts w:ascii="標楷體" w:eastAsia="標楷體" w:hAnsi="標楷體" w:cs="標楷體"/>
                <w:color w:val="000000"/>
                <w:szCs w:val="24"/>
              </w:rPr>
              <w:t>二、短程車資應檢據核</w:t>
            </w:r>
            <w:r>
              <w:rPr>
                <w:rFonts w:ascii="標楷體" w:eastAsia="標楷體" w:hAnsi="標楷體" w:cs="標楷體"/>
                <w:color w:val="000000"/>
                <w:szCs w:val="24"/>
              </w:rPr>
              <w:lastRenderedPageBreak/>
              <w:t>實報支。凡公民營汽車到達地區，除因急要公務者外，其搭乘計程車之費用，不得報支。</w:t>
            </w:r>
          </w:p>
          <w:p w:rsidR="00AB6227" w:rsidRDefault="00AB6227" w:rsidP="00F73E1A">
            <w:pPr>
              <w:pStyle w:val="Standard"/>
              <w:snapToGrid w:val="0"/>
              <w:spacing w:line="300" w:lineRule="exact"/>
              <w:ind w:left="461" w:hanging="461"/>
              <w:jc w:val="both"/>
              <w:rPr>
                <w:rFonts w:ascii="標楷體" w:eastAsia="標楷體" w:hAnsi="標楷體" w:cs="標楷體"/>
                <w:color w:val="000000"/>
                <w:szCs w:val="24"/>
              </w:rPr>
            </w:pPr>
            <w:r>
              <w:rPr>
                <w:rFonts w:ascii="標楷體" w:eastAsia="標楷體" w:hAnsi="標楷體" w:cs="標楷體"/>
                <w:color w:val="000000"/>
                <w:szCs w:val="24"/>
              </w:rPr>
              <w:t>三、運費依實際需要檢附發票或</w:t>
            </w:r>
            <w:proofErr w:type="gramStart"/>
            <w:r>
              <w:rPr>
                <w:rFonts w:ascii="標楷體" w:eastAsia="標楷體" w:hAnsi="標楷體" w:cs="標楷體"/>
                <w:color w:val="000000"/>
                <w:szCs w:val="24"/>
              </w:rPr>
              <w:t>收據核結</w:t>
            </w:r>
            <w:proofErr w:type="gramEnd"/>
            <w:r>
              <w:rPr>
                <w:rFonts w:ascii="標楷體" w:eastAsia="標楷體" w:hAnsi="標楷體" w:cs="標楷體"/>
                <w:color w:val="000000"/>
                <w:szCs w:val="24"/>
              </w:rPr>
              <w:t>。</w:t>
            </w:r>
          </w:p>
        </w:tc>
      </w:tr>
      <w:tr w:rsidR="00AB6227" w:rsidTr="00F73E1A">
        <w:tblPrEx>
          <w:tblCellMar>
            <w:top w:w="0" w:type="dxa"/>
            <w:bottom w:w="0" w:type="dxa"/>
          </w:tblCellMar>
        </w:tblPrEx>
        <w:trPr>
          <w:trHeight w:val="5377"/>
        </w:trPr>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AB6227">
            <w:pPr>
              <w:pStyle w:val="a5"/>
              <w:numPr>
                <w:ilvl w:val="0"/>
                <w:numId w:val="6"/>
              </w:numPr>
              <w:ind w:left="567" w:hanging="567"/>
              <w:jc w:val="both"/>
              <w:rPr>
                <w:rFonts w:ascii="標楷體" w:eastAsia="標楷體" w:hAnsi="標楷體" w:cs="標楷體"/>
                <w:szCs w:val="24"/>
              </w:rPr>
            </w:pPr>
            <w:r>
              <w:rPr>
                <w:rFonts w:ascii="標楷體" w:eastAsia="標楷體" w:hAnsi="標楷體" w:cs="標楷體"/>
                <w:szCs w:val="24"/>
              </w:rPr>
              <w:lastRenderedPageBreak/>
              <w:t>工作費</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jc w:val="both"/>
              <w:rPr>
                <w:rFonts w:ascii="標楷體" w:eastAsia="標楷體" w:hAnsi="標楷體" w:cs="標楷體"/>
                <w:szCs w:val="24"/>
              </w:rPr>
            </w:pPr>
            <w:r>
              <w:rPr>
                <w:rFonts w:ascii="標楷體" w:eastAsia="標楷體" w:hAnsi="標楷體" w:cs="標楷體"/>
                <w:szCs w:val="24"/>
              </w:rPr>
              <w:t>人日</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jc w:val="both"/>
            </w:pPr>
            <w:r>
              <w:rPr>
                <w:rFonts w:ascii="標楷體" w:eastAsia="標楷體" w:hAnsi="標楷體" w:cs="標楷體"/>
                <w:szCs w:val="24"/>
              </w:rPr>
              <w:t>現行勞動基準法所訂每人每小時最低基本工資</w:t>
            </w:r>
            <w:r>
              <w:rPr>
                <w:rFonts w:ascii="標楷體" w:eastAsia="標楷體" w:hAnsi="標楷體" w:cs="標楷體"/>
                <w:color w:val="000000"/>
                <w:szCs w:val="24"/>
              </w:rPr>
              <w:t>。</w:t>
            </w:r>
          </w:p>
        </w:tc>
        <w:tc>
          <w:tcPr>
            <w:tcW w:w="1619"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jc w:val="both"/>
            </w:pPr>
            <w:r>
              <w:rPr>
                <w:rFonts w:ascii="標楷體" w:eastAsia="標楷體" w:hAnsi="標楷體" w:cs="標楷體"/>
                <w:szCs w:val="24"/>
              </w:rPr>
              <w:t>辦理各項計畫所需</w:t>
            </w:r>
            <w:r>
              <w:rPr>
                <w:rFonts w:ascii="標楷體" w:eastAsia="標楷體" w:hAnsi="標楷體" w:cs="標楷體"/>
                <w:color w:val="000000"/>
                <w:szCs w:val="24"/>
              </w:rPr>
              <w:t>臨時人力</w:t>
            </w:r>
            <w:r>
              <w:rPr>
                <w:rFonts w:ascii="標楷體" w:eastAsia="標楷體" w:hAnsi="標楷體" w:cs="標楷體"/>
                <w:szCs w:val="24"/>
              </w:rPr>
              <w:t>屬之。</w:t>
            </w:r>
          </w:p>
        </w:tc>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227" w:rsidRDefault="00AB6227" w:rsidP="00AB6227">
            <w:pPr>
              <w:pStyle w:val="a5"/>
              <w:numPr>
                <w:ilvl w:val="0"/>
                <w:numId w:val="8"/>
              </w:numPr>
              <w:ind w:left="541" w:hanging="541"/>
              <w:jc w:val="both"/>
              <w:rPr>
                <w:rFonts w:ascii="標楷體" w:eastAsia="標楷體" w:hAnsi="標楷體" w:cs="標楷體"/>
                <w:szCs w:val="24"/>
              </w:rPr>
            </w:pPr>
            <w:r>
              <w:rPr>
                <w:rFonts w:ascii="標楷體" w:eastAsia="標楷體" w:hAnsi="標楷體" w:cs="標楷體"/>
                <w:szCs w:val="24"/>
              </w:rPr>
              <w:t>應依工作內容及性質核實編列。</w:t>
            </w:r>
          </w:p>
          <w:p w:rsidR="00AB6227" w:rsidRDefault="00AB6227" w:rsidP="00AB6227">
            <w:pPr>
              <w:pStyle w:val="a5"/>
              <w:numPr>
                <w:ilvl w:val="0"/>
                <w:numId w:val="1"/>
              </w:numPr>
              <w:ind w:left="541" w:hanging="541"/>
              <w:jc w:val="both"/>
              <w:rPr>
                <w:rFonts w:ascii="標楷體" w:eastAsia="標楷體" w:hAnsi="標楷體" w:cs="標楷體"/>
                <w:szCs w:val="24"/>
              </w:rPr>
            </w:pPr>
            <w:r>
              <w:rPr>
                <w:rFonts w:ascii="標楷體" w:eastAsia="標楷體" w:hAnsi="標楷體" w:cs="標楷體"/>
                <w:szCs w:val="24"/>
              </w:rPr>
              <w:t>所需臨時人力以參加人數1/10為編列上限，工作日數以加計前後1日為編列上限。</w:t>
            </w:r>
          </w:p>
        </w:tc>
      </w:tr>
      <w:tr w:rsidR="00AB6227" w:rsidTr="00F73E1A">
        <w:tblPrEx>
          <w:tblCellMar>
            <w:top w:w="0" w:type="dxa"/>
            <w:bottom w:w="0" w:type="dxa"/>
          </w:tblCellMar>
        </w:tblPrEx>
        <w:trPr>
          <w:trHeight w:val="7104"/>
        </w:trPr>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AB6227">
            <w:pPr>
              <w:pStyle w:val="a5"/>
              <w:numPr>
                <w:ilvl w:val="0"/>
                <w:numId w:val="9"/>
              </w:numPr>
              <w:ind w:left="566" w:hanging="564"/>
              <w:jc w:val="both"/>
              <w:rPr>
                <w:rFonts w:ascii="標楷體" w:eastAsia="標楷體" w:hAnsi="標楷體" w:cs="標楷體"/>
                <w:color w:val="000000"/>
                <w:szCs w:val="24"/>
              </w:rPr>
            </w:pPr>
            <w:r>
              <w:rPr>
                <w:rFonts w:ascii="標楷體" w:eastAsia="標楷體" w:hAnsi="標楷體" w:cs="標楷體"/>
                <w:color w:val="000000"/>
                <w:szCs w:val="24"/>
              </w:rPr>
              <w:lastRenderedPageBreak/>
              <w:t>行政管理費</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snapToGrid w:val="0"/>
              <w:jc w:val="both"/>
              <w:rPr>
                <w:rFonts w:ascii="標楷體" w:eastAsia="標楷體" w:hAnsi="標楷體" w:cs="標楷體"/>
                <w:color w:val="000000"/>
                <w:szCs w:val="24"/>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AB6227">
            <w:pPr>
              <w:pStyle w:val="a5"/>
              <w:numPr>
                <w:ilvl w:val="0"/>
                <w:numId w:val="10"/>
              </w:numPr>
              <w:snapToGrid w:val="0"/>
              <w:spacing w:line="300" w:lineRule="exact"/>
              <w:ind w:left="601" w:hanging="601"/>
              <w:jc w:val="both"/>
            </w:pPr>
            <w:r>
              <w:rPr>
                <w:rFonts w:ascii="標楷體" w:eastAsia="標楷體" w:hAnsi="標楷體"/>
                <w:color w:val="000000"/>
                <w:szCs w:val="24"/>
              </w:rPr>
              <w:t>依業務費之金額級距，</w:t>
            </w:r>
            <w:proofErr w:type="gramStart"/>
            <w:r>
              <w:rPr>
                <w:rFonts w:ascii="標楷體" w:eastAsia="標楷體" w:hAnsi="標楷體"/>
                <w:color w:val="000000"/>
                <w:szCs w:val="24"/>
              </w:rPr>
              <w:t>分段乘算下列</w:t>
            </w:r>
            <w:proofErr w:type="gramEnd"/>
            <w:r>
              <w:rPr>
                <w:rFonts w:ascii="標楷體" w:eastAsia="標楷體" w:hAnsi="標楷體"/>
                <w:color w:val="000000"/>
                <w:szCs w:val="24"/>
              </w:rPr>
              <w:t>比率後加總：</w:t>
            </w:r>
          </w:p>
          <w:p w:rsidR="00AB6227" w:rsidRDefault="00AB6227" w:rsidP="00F73E1A">
            <w:pPr>
              <w:pStyle w:val="Standard"/>
              <w:snapToGrid w:val="0"/>
              <w:spacing w:line="300" w:lineRule="exact"/>
              <w:ind w:left="601" w:hanging="601"/>
              <w:jc w:val="both"/>
            </w:pPr>
            <w:r>
              <w:rPr>
                <w:rFonts w:ascii="標楷體" w:eastAsia="標楷體" w:hAnsi="標楷體" w:cs="標楷體"/>
                <w:color w:val="000000"/>
                <w:szCs w:val="24"/>
              </w:rPr>
              <w:t xml:space="preserve"> </w:t>
            </w:r>
            <w:r>
              <w:rPr>
                <w:rFonts w:ascii="標楷體" w:eastAsia="標楷體" w:hAnsi="標楷體"/>
                <w:color w:val="000000"/>
                <w:szCs w:val="24"/>
              </w:rPr>
              <w:t>(</w:t>
            </w:r>
            <w:proofErr w:type="gramStart"/>
            <w:r>
              <w:rPr>
                <w:rFonts w:ascii="標楷體" w:eastAsia="標楷體" w:hAnsi="標楷體"/>
                <w:color w:val="000000"/>
                <w:szCs w:val="24"/>
              </w:rPr>
              <w:t>一</w:t>
            </w:r>
            <w:proofErr w:type="gramEnd"/>
            <w:r>
              <w:rPr>
                <w:rFonts w:ascii="標楷體" w:eastAsia="標楷體" w:hAnsi="標楷體"/>
                <w:color w:val="000000"/>
                <w:szCs w:val="24"/>
              </w:rPr>
              <w:t>)業務費300萬元以下者，得按業務費*10%以內編列。</w:t>
            </w:r>
          </w:p>
          <w:p w:rsidR="00AB6227" w:rsidRDefault="00AB6227" w:rsidP="00F73E1A">
            <w:pPr>
              <w:pStyle w:val="Standard"/>
              <w:snapToGrid w:val="0"/>
              <w:spacing w:line="300" w:lineRule="exact"/>
              <w:ind w:left="601" w:hanging="601"/>
              <w:jc w:val="both"/>
            </w:pPr>
            <w:r>
              <w:rPr>
                <w:rFonts w:ascii="標楷體" w:eastAsia="標楷體" w:hAnsi="標楷體" w:cs="標楷體"/>
                <w:color w:val="000000"/>
                <w:szCs w:val="24"/>
              </w:rPr>
              <w:t xml:space="preserve"> </w:t>
            </w:r>
            <w:r>
              <w:rPr>
                <w:rFonts w:ascii="標楷體" w:eastAsia="標楷體" w:hAnsi="標楷體"/>
                <w:color w:val="000000"/>
                <w:szCs w:val="24"/>
              </w:rPr>
              <w:t>(二)業務費超過300萬元以上部分，得按超過部分*5%以內編列。</w:t>
            </w:r>
          </w:p>
          <w:p w:rsidR="00AB6227" w:rsidRDefault="00AB6227" w:rsidP="00AB6227">
            <w:pPr>
              <w:pStyle w:val="a5"/>
              <w:numPr>
                <w:ilvl w:val="0"/>
                <w:numId w:val="5"/>
              </w:numPr>
              <w:snapToGrid w:val="0"/>
              <w:spacing w:line="300" w:lineRule="exact"/>
              <w:ind w:left="601" w:hanging="601"/>
              <w:jc w:val="both"/>
            </w:pPr>
            <w:r>
              <w:rPr>
                <w:rFonts w:ascii="標楷體" w:eastAsia="標楷體" w:hAnsi="標楷體"/>
                <w:color w:val="000000"/>
                <w:szCs w:val="24"/>
              </w:rPr>
              <w:t>行政管理費上限為30萬元，但因特殊需要經本部同意者，不在此限。</w:t>
            </w:r>
          </w:p>
          <w:p w:rsidR="00AB6227" w:rsidRDefault="00AB6227" w:rsidP="00AB6227">
            <w:pPr>
              <w:pStyle w:val="a5"/>
              <w:numPr>
                <w:ilvl w:val="0"/>
                <w:numId w:val="5"/>
              </w:numPr>
              <w:snapToGrid w:val="0"/>
              <w:spacing w:line="300" w:lineRule="exact"/>
              <w:ind w:left="601" w:hanging="601"/>
              <w:jc w:val="both"/>
              <w:rPr>
                <w:rFonts w:ascii="標楷體" w:eastAsia="標楷體" w:hAnsi="標楷體"/>
                <w:color w:val="000000"/>
                <w:szCs w:val="24"/>
              </w:rPr>
            </w:pPr>
            <w:r>
              <w:rPr>
                <w:rFonts w:ascii="標楷體" w:eastAsia="標楷體" w:hAnsi="標楷體"/>
                <w:color w:val="000000"/>
                <w:szCs w:val="24"/>
              </w:rPr>
              <w:t>有關行政管理費已涵蓋之經費項目，除特別需求外，不得重複編列。</w:t>
            </w:r>
          </w:p>
        </w:tc>
        <w:tc>
          <w:tcPr>
            <w:tcW w:w="1619"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snapToGrid w:val="0"/>
              <w:spacing w:line="300" w:lineRule="exact"/>
              <w:jc w:val="both"/>
            </w:pPr>
            <w:r>
              <w:rPr>
                <w:rFonts w:ascii="標楷體" w:eastAsia="標楷體" w:hAnsi="標楷體"/>
                <w:color w:val="000000"/>
                <w:szCs w:val="24"/>
              </w:rPr>
              <w:t>凡機關、學校、團體因辦理計畫所支付不屬前述費用之水電費、電話費、燃料費及設備維護費</w:t>
            </w:r>
            <w:r>
              <w:rPr>
                <w:rFonts w:ascii="標楷體" w:eastAsia="標楷體" w:hAnsi="標楷體" w:cs="標楷體"/>
                <w:color w:val="000000"/>
                <w:szCs w:val="24"/>
              </w:rPr>
              <w:t>，</w:t>
            </w:r>
            <w:r>
              <w:rPr>
                <w:rFonts w:ascii="標楷體" w:eastAsia="標楷體" w:hAnsi="標楷體"/>
                <w:color w:val="000000"/>
                <w:szCs w:val="24"/>
              </w:rPr>
              <w:t>以及未編列之辦公事務費用屬之。如文具用品、紙張、錄影帶、資訊耗材、資料夾、郵資等屬之。</w:t>
            </w:r>
          </w:p>
        </w:tc>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227" w:rsidRDefault="00AB6227" w:rsidP="00AB6227">
            <w:pPr>
              <w:pStyle w:val="a5"/>
              <w:numPr>
                <w:ilvl w:val="0"/>
                <w:numId w:val="11"/>
              </w:numPr>
              <w:snapToGrid w:val="0"/>
              <w:spacing w:line="300" w:lineRule="exact"/>
              <w:ind w:left="541" w:hanging="541"/>
              <w:jc w:val="both"/>
              <w:rPr>
                <w:rFonts w:ascii="標楷體" w:eastAsia="標楷體" w:hAnsi="標楷體"/>
                <w:color w:val="000000"/>
                <w:szCs w:val="24"/>
              </w:rPr>
            </w:pPr>
            <w:r>
              <w:rPr>
                <w:rFonts w:ascii="標楷體" w:eastAsia="標楷體" w:hAnsi="標楷體"/>
                <w:color w:val="000000"/>
                <w:szCs w:val="24"/>
              </w:rPr>
              <w:t>本項經費除經本部同意者外，不得流入。</w:t>
            </w:r>
          </w:p>
          <w:p w:rsidR="00AB6227" w:rsidRDefault="00AB6227" w:rsidP="00AB6227">
            <w:pPr>
              <w:pStyle w:val="a5"/>
              <w:numPr>
                <w:ilvl w:val="0"/>
                <w:numId w:val="2"/>
              </w:numPr>
              <w:snapToGrid w:val="0"/>
              <w:spacing w:line="300" w:lineRule="exact"/>
              <w:ind w:left="541" w:hanging="541"/>
              <w:jc w:val="both"/>
            </w:pPr>
            <w:r>
              <w:rPr>
                <w:rFonts w:ascii="標楷體" w:eastAsia="標楷體" w:hAnsi="標楷體"/>
                <w:color w:val="000000"/>
                <w:szCs w:val="24"/>
              </w:rPr>
              <w:t>依</w:t>
            </w:r>
            <w:r>
              <w:rPr>
                <w:rFonts w:ascii="標楷體" w:eastAsia="標楷體" w:hAnsi="標楷體" w:cs="標楷體"/>
                <w:color w:val="000000"/>
                <w:szCs w:val="24"/>
              </w:rPr>
              <w:t>本部83</w:t>
            </w:r>
            <w:r>
              <w:rPr>
                <w:rFonts w:ascii="標楷體" w:eastAsia="標楷體" w:hAnsi="標楷體"/>
                <w:color w:val="000000"/>
                <w:szCs w:val="24"/>
              </w:rPr>
              <w:t>年12月8日台83會066545號函，行政管理費以</w:t>
            </w:r>
            <w:proofErr w:type="gramStart"/>
            <w:r>
              <w:rPr>
                <w:rFonts w:ascii="標楷體" w:eastAsia="標楷體" w:hAnsi="標楷體"/>
                <w:color w:val="000000"/>
                <w:szCs w:val="24"/>
              </w:rPr>
              <w:t>領據結報</w:t>
            </w:r>
            <w:proofErr w:type="gramEnd"/>
            <w:r>
              <w:rPr>
                <w:rFonts w:ascii="標楷體" w:eastAsia="標楷體" w:hAnsi="標楷體"/>
                <w:color w:val="000000"/>
                <w:szCs w:val="24"/>
              </w:rPr>
              <w:t>。</w:t>
            </w:r>
          </w:p>
        </w:tc>
      </w:tr>
      <w:tr w:rsidR="00AB6227" w:rsidTr="00F73E1A">
        <w:tblPrEx>
          <w:tblCellMar>
            <w:top w:w="0" w:type="dxa"/>
            <w:bottom w:w="0" w:type="dxa"/>
          </w:tblCellMar>
        </w:tblPrEx>
        <w:trPr>
          <w:trHeight w:val="1067"/>
        </w:trPr>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AB6227">
            <w:pPr>
              <w:pStyle w:val="a5"/>
              <w:numPr>
                <w:ilvl w:val="0"/>
                <w:numId w:val="12"/>
              </w:numPr>
              <w:ind w:left="567" w:hanging="567"/>
              <w:jc w:val="both"/>
              <w:rPr>
                <w:rFonts w:ascii="標楷體" w:eastAsia="標楷體" w:hAnsi="標楷體" w:cs="標楷體"/>
                <w:color w:val="000000"/>
                <w:szCs w:val="24"/>
              </w:rPr>
            </w:pPr>
            <w:r>
              <w:rPr>
                <w:rFonts w:ascii="標楷體" w:eastAsia="標楷體" w:hAnsi="標楷體" w:cs="標楷體"/>
                <w:color w:val="000000"/>
                <w:szCs w:val="24"/>
              </w:rPr>
              <w:t>出席費</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jc w:val="both"/>
              <w:rPr>
                <w:rFonts w:ascii="標楷體" w:eastAsia="標楷體" w:hAnsi="標楷體" w:cs="標楷體"/>
                <w:color w:val="000000"/>
                <w:szCs w:val="24"/>
              </w:rPr>
            </w:pPr>
            <w:r>
              <w:rPr>
                <w:rFonts w:ascii="標楷體" w:eastAsia="標楷體" w:hAnsi="標楷體" w:cs="標楷體"/>
                <w:color w:val="000000"/>
                <w:szCs w:val="24"/>
              </w:rPr>
              <w:t>人次</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AB6227">
            <w:pPr>
              <w:pStyle w:val="a5"/>
              <w:numPr>
                <w:ilvl w:val="0"/>
                <w:numId w:val="13"/>
              </w:numPr>
              <w:snapToGrid w:val="0"/>
              <w:spacing w:line="300" w:lineRule="exact"/>
              <w:ind w:left="601" w:right="-108" w:hanging="601"/>
              <w:jc w:val="both"/>
              <w:rPr>
                <w:rFonts w:ascii="標楷體" w:eastAsia="標楷體" w:hAnsi="標楷體"/>
                <w:color w:val="000000"/>
                <w:szCs w:val="24"/>
              </w:rPr>
            </w:pPr>
            <w:r>
              <w:rPr>
                <w:rFonts w:ascii="標楷體" w:eastAsia="標楷體" w:hAnsi="標楷體"/>
                <w:color w:val="000000"/>
                <w:szCs w:val="24"/>
              </w:rPr>
              <w:t>1,000元至2,000元。</w:t>
            </w:r>
          </w:p>
          <w:p w:rsidR="00AB6227" w:rsidRDefault="00AB6227" w:rsidP="00AB6227">
            <w:pPr>
              <w:pStyle w:val="a5"/>
              <w:numPr>
                <w:ilvl w:val="0"/>
                <w:numId w:val="4"/>
              </w:numPr>
              <w:snapToGrid w:val="0"/>
              <w:spacing w:line="300" w:lineRule="exact"/>
              <w:ind w:left="601" w:hanging="601"/>
              <w:jc w:val="both"/>
              <w:rPr>
                <w:rFonts w:ascii="標楷體" w:eastAsia="標楷體" w:hAnsi="標楷體"/>
                <w:color w:val="000000"/>
                <w:szCs w:val="24"/>
              </w:rPr>
            </w:pPr>
            <w:r>
              <w:rPr>
                <w:rFonts w:ascii="標楷體" w:eastAsia="標楷體" w:hAnsi="標楷體"/>
                <w:color w:val="000000"/>
                <w:szCs w:val="24"/>
              </w:rPr>
              <w:t>上限為10萬元，但因特殊需要經本部同意者，不在此限。</w:t>
            </w:r>
          </w:p>
        </w:tc>
        <w:tc>
          <w:tcPr>
            <w:tcW w:w="1619" w:type="dxa"/>
            <w:tcBorders>
              <w:top w:val="single" w:sz="4" w:space="0" w:color="000000"/>
              <w:left w:val="single" w:sz="4" w:space="0" w:color="000000"/>
              <w:bottom w:val="single" w:sz="4" w:space="0" w:color="000000"/>
            </w:tcBorders>
            <w:tcMar>
              <w:top w:w="0" w:type="dxa"/>
              <w:left w:w="108" w:type="dxa"/>
              <w:bottom w:w="0" w:type="dxa"/>
              <w:right w:w="108" w:type="dxa"/>
            </w:tcMar>
          </w:tcPr>
          <w:p w:rsidR="00AB6227" w:rsidRDefault="00AB6227" w:rsidP="00F73E1A">
            <w:pPr>
              <w:pStyle w:val="Standard"/>
              <w:snapToGrid w:val="0"/>
              <w:spacing w:line="300" w:lineRule="exact"/>
              <w:jc w:val="both"/>
              <w:rPr>
                <w:rFonts w:ascii="標楷體" w:eastAsia="標楷體" w:hAnsi="標楷體"/>
                <w:color w:val="000000"/>
                <w:szCs w:val="24"/>
              </w:rPr>
            </w:pPr>
            <w:r>
              <w:rPr>
                <w:rFonts w:ascii="標楷體" w:eastAsia="標楷體" w:hAnsi="標楷體"/>
                <w:color w:val="000000"/>
                <w:szCs w:val="24"/>
              </w:rPr>
              <w:t>凡邀請個人以學者專家身分參與協助執行計畫之出席費屬之。</w:t>
            </w:r>
          </w:p>
        </w:tc>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6227" w:rsidRDefault="00AB6227" w:rsidP="00AB6227">
            <w:pPr>
              <w:pStyle w:val="a5"/>
              <w:numPr>
                <w:ilvl w:val="0"/>
                <w:numId w:val="14"/>
              </w:numPr>
              <w:snapToGrid w:val="0"/>
              <w:spacing w:line="300" w:lineRule="exact"/>
              <w:ind w:left="541" w:hanging="541"/>
              <w:jc w:val="both"/>
              <w:rPr>
                <w:rFonts w:ascii="標楷體" w:eastAsia="標楷體" w:hAnsi="標楷體"/>
                <w:color w:val="000000"/>
                <w:szCs w:val="24"/>
              </w:rPr>
            </w:pPr>
            <w:r>
              <w:rPr>
                <w:rFonts w:ascii="標楷體" w:eastAsia="標楷體" w:hAnsi="標楷體"/>
                <w:color w:val="000000"/>
                <w:szCs w:val="24"/>
              </w:rPr>
              <w:t>以邀請計畫編列人員以外之學者專家協助執行計畫內容為限。</w:t>
            </w:r>
          </w:p>
          <w:p w:rsidR="00AB6227" w:rsidRDefault="00AB6227" w:rsidP="00AB6227">
            <w:pPr>
              <w:pStyle w:val="a5"/>
              <w:numPr>
                <w:ilvl w:val="0"/>
                <w:numId w:val="3"/>
              </w:numPr>
              <w:snapToGrid w:val="0"/>
              <w:spacing w:line="300" w:lineRule="exact"/>
              <w:ind w:left="541" w:hanging="541"/>
              <w:jc w:val="both"/>
              <w:rPr>
                <w:rFonts w:ascii="標楷體" w:eastAsia="標楷體" w:hAnsi="標楷體"/>
                <w:color w:val="000000"/>
                <w:szCs w:val="24"/>
              </w:rPr>
            </w:pPr>
            <w:proofErr w:type="gramStart"/>
            <w:r>
              <w:rPr>
                <w:rFonts w:ascii="標楷體" w:eastAsia="標楷體" w:hAnsi="標楷體"/>
                <w:color w:val="000000"/>
                <w:szCs w:val="24"/>
              </w:rPr>
              <w:t>核結時</w:t>
            </w:r>
            <w:proofErr w:type="gramEnd"/>
            <w:r>
              <w:rPr>
                <w:rFonts w:ascii="標楷體" w:eastAsia="標楷體" w:hAnsi="標楷體"/>
                <w:color w:val="000000"/>
                <w:szCs w:val="24"/>
              </w:rPr>
              <w:t>應檢附協助執行之成果紀錄。</w:t>
            </w:r>
          </w:p>
        </w:tc>
      </w:tr>
    </w:tbl>
    <w:p w:rsidR="00AB6227" w:rsidRDefault="00AB6227" w:rsidP="00AB6227">
      <w:pPr>
        <w:pStyle w:val="Standard"/>
        <w:snapToGrid w:val="0"/>
        <w:spacing w:line="420" w:lineRule="exact"/>
        <w:ind w:left="851" w:hanging="851"/>
        <w:jc w:val="both"/>
        <w:rPr>
          <w:rFonts w:ascii="標楷體" w:eastAsia="標楷體" w:hAnsi="標楷體" w:cs="標楷體"/>
          <w:sz w:val="28"/>
        </w:rPr>
      </w:pPr>
    </w:p>
    <w:p w:rsidR="00DA56D1" w:rsidRPr="00AB6227" w:rsidRDefault="00AB6227"/>
    <w:sectPr w:rsidR="00DA56D1" w:rsidRPr="00AB6227">
      <w:footerReference w:type="default" r:id="rId6"/>
      <w:pgSz w:w="11906" w:h="16838"/>
      <w:pgMar w:top="1418" w:right="1418" w:bottom="1418" w:left="1701" w:header="720"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E7" w:rsidRDefault="00AB6227">
    <w:pPr>
      <w:pStyle w:val="a3"/>
      <w:jc w:val="center"/>
    </w:pPr>
    <w:r>
      <w:fldChar w:fldCharType="begin"/>
    </w:r>
    <w:r>
      <w:instrText xml:space="preserve"> PAGE </w:instrText>
    </w:r>
    <w:r>
      <w:fldChar w:fldCharType="separate"/>
    </w:r>
    <w:r>
      <w:rPr>
        <w:noProof/>
      </w:rPr>
      <w:t>1</w:t>
    </w:r>
    <w:r>
      <w:fldChar w:fldCharType="end"/>
    </w:r>
  </w:p>
  <w:p w:rsidR="00E367E7" w:rsidRDefault="00AB6227">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353"/>
    <w:multiLevelType w:val="multilevel"/>
    <w:tmpl w:val="99D872BC"/>
    <w:styleLink w:val="WW8Num2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259749ED"/>
    <w:multiLevelType w:val="multilevel"/>
    <w:tmpl w:val="946EE7AA"/>
    <w:styleLink w:val="WW8Num30"/>
    <w:lvl w:ilvl="0">
      <w:start w:val="1"/>
      <w:numFmt w:val="japaneseCounting"/>
      <w:lvlText w:val="%1、"/>
      <w:lvlJc w:val="left"/>
      <w:rPr>
        <w:rFonts w:ascii="標楷體" w:eastAsia="標楷體" w:hAnsi="標楷體"/>
        <w:szCs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783174A"/>
    <w:multiLevelType w:val="multilevel"/>
    <w:tmpl w:val="3FDAEFD4"/>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47857282"/>
    <w:multiLevelType w:val="multilevel"/>
    <w:tmpl w:val="8E8281FC"/>
    <w:styleLink w:val="WW8Num1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50906FA4"/>
    <w:multiLevelType w:val="multilevel"/>
    <w:tmpl w:val="9252EF08"/>
    <w:styleLink w:val="WW8Num2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786878E5"/>
    <w:multiLevelType w:val="multilevel"/>
    <w:tmpl w:val="9708A4AC"/>
    <w:styleLink w:val="WW8Num33"/>
    <w:lvl w:ilvl="0">
      <w:start w:val="1"/>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5"/>
    <w:lvlOverride w:ilvl="0">
      <w:startOverride w:val="1"/>
    </w:lvlOverride>
  </w:num>
  <w:num w:numId="8">
    <w:abstractNumId w:val="2"/>
    <w:lvlOverride w:ilvl="0">
      <w:startOverride w:val="1"/>
    </w:lvlOverride>
  </w:num>
  <w:num w:numId="9">
    <w:abstractNumId w:val="5"/>
    <w:lvlOverride w:ilvl="0">
      <w:startOverride w:val="1"/>
    </w:lvlOverride>
  </w:num>
  <w:num w:numId="10">
    <w:abstractNumId w:val="1"/>
    <w:lvlOverride w:ilvl="0">
      <w:startOverride w:val="1"/>
    </w:lvlOverride>
  </w:num>
  <w:num w:numId="11">
    <w:abstractNumId w:val="3"/>
    <w:lvlOverride w:ilvl="0">
      <w:startOverride w:val="1"/>
    </w:lvlOverride>
  </w:num>
  <w:num w:numId="12">
    <w:abstractNumId w:val="5"/>
    <w:lvlOverride w:ilvl="0">
      <w:startOverride w:val="1"/>
    </w:lvlOverride>
  </w:num>
  <w:num w:numId="13">
    <w:abstractNumId w:val="4"/>
    <w:lvlOverride w:ilvl="0">
      <w:startOverride w:val="1"/>
    </w:lvlOverride>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27"/>
    <w:rsid w:val="00547D36"/>
    <w:rsid w:val="00AB6227"/>
    <w:rsid w:val="00F365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27"/>
    <w:pPr>
      <w:widowControl w:val="0"/>
      <w:suppressAutoHyphens/>
      <w:autoSpaceDN w:val="0"/>
      <w:textAlignment w:val="baseline"/>
    </w:pPr>
    <w:rPr>
      <w:rFonts w:ascii="Times New Roman" w:eastAsia="新細明體" w:hAnsi="Times New Roman"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6227"/>
    <w:pPr>
      <w:widowControl w:val="0"/>
      <w:suppressAutoHyphens/>
      <w:autoSpaceDN w:val="0"/>
      <w:textAlignment w:val="baseline"/>
    </w:pPr>
    <w:rPr>
      <w:rFonts w:ascii="Calibri" w:eastAsia="新細明體, PMingLiU" w:hAnsi="Calibri" w:cs="Calibri"/>
      <w:kern w:val="3"/>
    </w:rPr>
  </w:style>
  <w:style w:type="paragraph" w:styleId="a3">
    <w:name w:val="footer"/>
    <w:basedOn w:val="Standard"/>
    <w:link w:val="a4"/>
    <w:rsid w:val="00AB6227"/>
    <w:pPr>
      <w:tabs>
        <w:tab w:val="center" w:pos="4153"/>
        <w:tab w:val="right" w:pos="8306"/>
      </w:tabs>
      <w:snapToGrid w:val="0"/>
    </w:pPr>
    <w:rPr>
      <w:sz w:val="20"/>
      <w:szCs w:val="20"/>
    </w:rPr>
  </w:style>
  <w:style w:type="character" w:customStyle="1" w:styleId="a4">
    <w:name w:val="頁尾 字元"/>
    <w:basedOn w:val="a0"/>
    <w:link w:val="a3"/>
    <w:rsid w:val="00AB6227"/>
    <w:rPr>
      <w:rFonts w:ascii="Calibri" w:eastAsia="新細明體, PMingLiU" w:hAnsi="Calibri" w:cs="Calibri"/>
      <w:kern w:val="3"/>
      <w:sz w:val="20"/>
      <w:szCs w:val="20"/>
    </w:rPr>
  </w:style>
  <w:style w:type="paragraph" w:styleId="a5">
    <w:name w:val="List Paragraph"/>
    <w:basedOn w:val="Standard"/>
    <w:rsid w:val="00AB6227"/>
    <w:pPr>
      <w:ind w:left="480"/>
    </w:pPr>
    <w:rPr>
      <w:rFonts w:cs="Times New Roman"/>
    </w:rPr>
  </w:style>
  <w:style w:type="numbering" w:customStyle="1" w:styleId="WW8Num3">
    <w:name w:val="WW8Num3"/>
    <w:basedOn w:val="a2"/>
    <w:rsid w:val="00AB6227"/>
    <w:pPr>
      <w:numPr>
        <w:numId w:val="1"/>
      </w:numPr>
    </w:pPr>
  </w:style>
  <w:style w:type="numbering" w:customStyle="1" w:styleId="WW8Num19">
    <w:name w:val="WW8Num19"/>
    <w:basedOn w:val="a2"/>
    <w:rsid w:val="00AB6227"/>
    <w:pPr>
      <w:numPr>
        <w:numId w:val="2"/>
      </w:numPr>
    </w:pPr>
  </w:style>
  <w:style w:type="numbering" w:customStyle="1" w:styleId="WW8Num20">
    <w:name w:val="WW8Num20"/>
    <w:basedOn w:val="a2"/>
    <w:rsid w:val="00AB6227"/>
    <w:pPr>
      <w:numPr>
        <w:numId w:val="3"/>
      </w:numPr>
    </w:pPr>
  </w:style>
  <w:style w:type="numbering" w:customStyle="1" w:styleId="WW8Num28">
    <w:name w:val="WW8Num28"/>
    <w:basedOn w:val="a2"/>
    <w:rsid w:val="00AB6227"/>
    <w:pPr>
      <w:numPr>
        <w:numId w:val="4"/>
      </w:numPr>
    </w:pPr>
  </w:style>
  <w:style w:type="numbering" w:customStyle="1" w:styleId="WW8Num30">
    <w:name w:val="WW8Num30"/>
    <w:basedOn w:val="a2"/>
    <w:rsid w:val="00AB6227"/>
    <w:pPr>
      <w:numPr>
        <w:numId w:val="5"/>
      </w:numPr>
    </w:pPr>
  </w:style>
  <w:style w:type="numbering" w:customStyle="1" w:styleId="WW8Num33">
    <w:name w:val="WW8Num33"/>
    <w:basedOn w:val="a2"/>
    <w:rsid w:val="00AB6227"/>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27"/>
    <w:pPr>
      <w:widowControl w:val="0"/>
      <w:suppressAutoHyphens/>
      <w:autoSpaceDN w:val="0"/>
      <w:textAlignment w:val="baseline"/>
    </w:pPr>
    <w:rPr>
      <w:rFonts w:ascii="Times New Roman" w:eastAsia="新細明體" w:hAnsi="Times New Roman"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6227"/>
    <w:pPr>
      <w:widowControl w:val="0"/>
      <w:suppressAutoHyphens/>
      <w:autoSpaceDN w:val="0"/>
      <w:textAlignment w:val="baseline"/>
    </w:pPr>
    <w:rPr>
      <w:rFonts w:ascii="Calibri" w:eastAsia="新細明體, PMingLiU" w:hAnsi="Calibri" w:cs="Calibri"/>
      <w:kern w:val="3"/>
    </w:rPr>
  </w:style>
  <w:style w:type="paragraph" w:styleId="a3">
    <w:name w:val="footer"/>
    <w:basedOn w:val="Standard"/>
    <w:link w:val="a4"/>
    <w:rsid w:val="00AB6227"/>
    <w:pPr>
      <w:tabs>
        <w:tab w:val="center" w:pos="4153"/>
        <w:tab w:val="right" w:pos="8306"/>
      </w:tabs>
      <w:snapToGrid w:val="0"/>
    </w:pPr>
    <w:rPr>
      <w:sz w:val="20"/>
      <w:szCs w:val="20"/>
    </w:rPr>
  </w:style>
  <w:style w:type="character" w:customStyle="1" w:styleId="a4">
    <w:name w:val="頁尾 字元"/>
    <w:basedOn w:val="a0"/>
    <w:link w:val="a3"/>
    <w:rsid w:val="00AB6227"/>
    <w:rPr>
      <w:rFonts w:ascii="Calibri" w:eastAsia="新細明體, PMingLiU" w:hAnsi="Calibri" w:cs="Calibri"/>
      <w:kern w:val="3"/>
      <w:sz w:val="20"/>
      <w:szCs w:val="20"/>
    </w:rPr>
  </w:style>
  <w:style w:type="paragraph" w:styleId="a5">
    <w:name w:val="List Paragraph"/>
    <w:basedOn w:val="Standard"/>
    <w:rsid w:val="00AB6227"/>
    <w:pPr>
      <w:ind w:left="480"/>
    </w:pPr>
    <w:rPr>
      <w:rFonts w:cs="Times New Roman"/>
    </w:rPr>
  </w:style>
  <w:style w:type="numbering" w:customStyle="1" w:styleId="WW8Num3">
    <w:name w:val="WW8Num3"/>
    <w:basedOn w:val="a2"/>
    <w:rsid w:val="00AB6227"/>
    <w:pPr>
      <w:numPr>
        <w:numId w:val="1"/>
      </w:numPr>
    </w:pPr>
  </w:style>
  <w:style w:type="numbering" w:customStyle="1" w:styleId="WW8Num19">
    <w:name w:val="WW8Num19"/>
    <w:basedOn w:val="a2"/>
    <w:rsid w:val="00AB6227"/>
    <w:pPr>
      <w:numPr>
        <w:numId w:val="2"/>
      </w:numPr>
    </w:pPr>
  </w:style>
  <w:style w:type="numbering" w:customStyle="1" w:styleId="WW8Num20">
    <w:name w:val="WW8Num20"/>
    <w:basedOn w:val="a2"/>
    <w:rsid w:val="00AB6227"/>
    <w:pPr>
      <w:numPr>
        <w:numId w:val="3"/>
      </w:numPr>
    </w:pPr>
  </w:style>
  <w:style w:type="numbering" w:customStyle="1" w:styleId="WW8Num28">
    <w:name w:val="WW8Num28"/>
    <w:basedOn w:val="a2"/>
    <w:rsid w:val="00AB6227"/>
    <w:pPr>
      <w:numPr>
        <w:numId w:val="4"/>
      </w:numPr>
    </w:pPr>
  </w:style>
  <w:style w:type="numbering" w:customStyle="1" w:styleId="WW8Num30">
    <w:name w:val="WW8Num30"/>
    <w:basedOn w:val="a2"/>
    <w:rsid w:val="00AB6227"/>
    <w:pPr>
      <w:numPr>
        <w:numId w:val="5"/>
      </w:numPr>
    </w:pPr>
  </w:style>
  <w:style w:type="numbering" w:customStyle="1" w:styleId="WW8Num33">
    <w:name w:val="WW8Num33"/>
    <w:basedOn w:val="a2"/>
    <w:rsid w:val="00AB622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陳胤漙</dc:creator>
  <cp:lastModifiedBy>陳胤漙</cp:lastModifiedBy>
  <cp:revision>1</cp:revision>
  <dcterms:created xsi:type="dcterms:W3CDTF">2016-10-28T00:33:00Z</dcterms:created>
  <dcterms:modified xsi:type="dcterms:W3CDTF">2016-10-28T00:33:00Z</dcterms:modified>
</cp:coreProperties>
</file>